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24" w:rsidRDefault="006A1224" w:rsidP="006A1224">
      <w:pPr>
        <w:pStyle w:val="Style4"/>
        <w:widowControl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ТОМСК</w:t>
      </w:r>
    </w:p>
    <w:p w:rsidR="006A1224" w:rsidRPr="006A1224" w:rsidRDefault="006A1224" w:rsidP="006A1224">
      <w:pPr>
        <w:pStyle w:val="Style4"/>
        <w:widowControl/>
        <w:jc w:val="both"/>
        <w:rPr>
          <w:rStyle w:val="FontStyle40"/>
          <w:sz w:val="28"/>
          <w:szCs w:val="28"/>
        </w:rPr>
      </w:pPr>
      <w:r w:rsidRPr="006A1224">
        <w:rPr>
          <w:rStyle w:val="FontStyle40"/>
          <w:sz w:val="28"/>
          <w:szCs w:val="28"/>
        </w:rPr>
        <w:t>Что наиболее значительного удалось сделать в 2015 году?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1) В 2015 году продолжил работу </w:t>
      </w:r>
      <w:r w:rsidRPr="006A1224">
        <w:rPr>
          <w:rStyle w:val="FontStyle40"/>
          <w:b w:val="0"/>
          <w:sz w:val="28"/>
          <w:szCs w:val="28"/>
        </w:rPr>
        <w:t>Сводный городской трудовой отряд молодежи.</w:t>
      </w:r>
      <w:r w:rsidRPr="006A1224">
        <w:rPr>
          <w:rStyle w:val="FontStyle40"/>
          <w:sz w:val="28"/>
          <w:szCs w:val="28"/>
        </w:rPr>
        <w:t xml:space="preserve"> </w:t>
      </w:r>
      <w:r w:rsidRPr="006A1224">
        <w:rPr>
          <w:rStyle w:val="FontStyle39"/>
          <w:sz w:val="28"/>
          <w:szCs w:val="28"/>
        </w:rPr>
        <w:t>Было сформировано 6 отрядов и 4 бригады, из них 3 строительных отряда, 2 отряда и 4 бригады в сфере благоустройства и 1 педагогический отряд. Общая численность отряда составила 149 человек ежемесячно. Доход студентов составил от 12 ООО до 20 ООО рублей. Сводный отряд работал на капитальном ремонте СОШ №36, Гуманитарного лицея, благоустройстве районов города Томска, кладбища на пл</w:t>
      </w:r>
      <w:proofErr w:type="gramStart"/>
      <w:r w:rsidRPr="006A1224">
        <w:rPr>
          <w:rStyle w:val="FontStyle39"/>
          <w:sz w:val="28"/>
          <w:szCs w:val="28"/>
        </w:rPr>
        <w:t>.Ю</w:t>
      </w:r>
      <w:proofErr w:type="gramEnd"/>
      <w:r w:rsidRPr="006A1224">
        <w:rPr>
          <w:rStyle w:val="FontStyle39"/>
          <w:sz w:val="28"/>
          <w:szCs w:val="28"/>
        </w:rPr>
        <w:t xml:space="preserve">жной и присоединённых территориях: п. Светлый, д. </w:t>
      </w:r>
      <w:proofErr w:type="spellStart"/>
      <w:r w:rsidRPr="006A1224">
        <w:rPr>
          <w:rStyle w:val="FontStyle39"/>
          <w:sz w:val="28"/>
          <w:szCs w:val="28"/>
        </w:rPr>
        <w:t>Лоскутово</w:t>
      </w:r>
      <w:proofErr w:type="spellEnd"/>
      <w:r w:rsidRPr="006A1224">
        <w:rPr>
          <w:rStyle w:val="FontStyle39"/>
          <w:sz w:val="28"/>
          <w:szCs w:val="28"/>
        </w:rPr>
        <w:t>, п. Просторный и с. Тимирязеве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2) </w:t>
      </w:r>
      <w:r w:rsidRPr="006A1224">
        <w:rPr>
          <w:rStyle w:val="FontStyle38"/>
          <w:b w:val="0"/>
          <w:i w:val="0"/>
          <w:sz w:val="28"/>
          <w:szCs w:val="28"/>
        </w:rPr>
        <w:t>Проведение общегородского социального конкурса «Снежная вахта»</w:t>
      </w:r>
      <w:r w:rsidRPr="006A1224">
        <w:rPr>
          <w:rStyle w:val="FontStyle38"/>
          <w:sz w:val="28"/>
          <w:szCs w:val="28"/>
        </w:rPr>
        <w:t xml:space="preserve"> </w:t>
      </w:r>
      <w:r w:rsidRPr="006A1224">
        <w:rPr>
          <w:rStyle w:val="FontStyle39"/>
          <w:sz w:val="28"/>
          <w:szCs w:val="28"/>
        </w:rPr>
        <w:t>среди общественных организаций и молодежных инициативных групп по очистке от снега дворов ветеранов, одиноких пенсионеров, инвалидов и объектов социальной сферы. В 2015 году количество команд составило 45, в 2014 - 24.</w:t>
      </w:r>
    </w:p>
    <w:p w:rsidR="006A1224" w:rsidRPr="006A1224" w:rsidRDefault="006A1224" w:rsidP="006A1224">
      <w:pPr>
        <w:pStyle w:val="Style6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В период с 18 марта по 29 апреля 2015 года участники конкурса очистили от снега, далее от мусора 254 объекта. Для сравнения в 2014 - 235 объектов, в 2013 - только 157. Также участники конкурса помогали в </w:t>
      </w:r>
      <w:proofErr w:type="spellStart"/>
      <w:r w:rsidRPr="006A1224">
        <w:rPr>
          <w:rStyle w:val="FontStyle39"/>
          <w:sz w:val="28"/>
          <w:szCs w:val="28"/>
        </w:rPr>
        <w:t>противопаводковых</w:t>
      </w:r>
      <w:proofErr w:type="spellEnd"/>
      <w:r w:rsidRPr="006A1224">
        <w:rPr>
          <w:rStyle w:val="FontStyle39"/>
          <w:sz w:val="28"/>
          <w:szCs w:val="28"/>
        </w:rPr>
        <w:t xml:space="preserve"> мероприятиях, районных и общегородских субботниках.</w:t>
      </w:r>
    </w:p>
    <w:p w:rsidR="006A1224" w:rsidRPr="006A1224" w:rsidRDefault="006A1224" w:rsidP="006A1224">
      <w:pPr>
        <w:pStyle w:val="Style6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>В 2015 году организовано и проведено 24 субботника с общим количеством участников 1 188 человек.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3) </w:t>
      </w:r>
      <w:r w:rsidRPr="006A1224">
        <w:rPr>
          <w:rStyle w:val="FontStyle38"/>
          <w:b w:val="0"/>
          <w:i w:val="0"/>
          <w:sz w:val="28"/>
          <w:szCs w:val="28"/>
        </w:rPr>
        <w:t>Реализация социально-благотворительного проекта «Город добрых дел».</w:t>
      </w:r>
      <w:r w:rsidRPr="006A1224">
        <w:rPr>
          <w:rStyle w:val="FontStyle38"/>
          <w:sz w:val="28"/>
          <w:szCs w:val="28"/>
        </w:rPr>
        <w:t xml:space="preserve"> </w:t>
      </w:r>
      <w:proofErr w:type="gramStart"/>
      <w:r w:rsidRPr="006A1224">
        <w:rPr>
          <w:rStyle w:val="FontStyle39"/>
          <w:sz w:val="28"/>
          <w:szCs w:val="28"/>
        </w:rPr>
        <w:t>Проект направлен на вовлечение молодёжи Города Томска в волонтёрскую деятельность по оказанию помощи нуждающимся одиноко проживающим пенсионерам, инвалидам и ветеранам, учреждениям социальной сферы, а также по решению иных городских задач на безвозмездной основе: очистка территории города от снега, участие в общегородских субботниках, адресная социальная помощь, участие в организации мероприятий, приведение в порядок городской территории общего пользования и др. В 2015</w:t>
      </w:r>
      <w:proofErr w:type="gramEnd"/>
      <w:r w:rsidRPr="006A1224">
        <w:rPr>
          <w:rStyle w:val="FontStyle39"/>
          <w:sz w:val="28"/>
          <w:szCs w:val="28"/>
        </w:rPr>
        <w:t xml:space="preserve"> году в проекте приняло участие более 624 человека, сделано более 100 добрых дел. В 2014 году приняли участие 120 человек.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4) В преддверии празднования 70-летия Победы в Великой Отечественной войне особое внимание было посвящено </w:t>
      </w:r>
      <w:r w:rsidRPr="006A1224">
        <w:rPr>
          <w:rStyle w:val="FontStyle38"/>
          <w:b w:val="0"/>
          <w:i w:val="0"/>
          <w:sz w:val="28"/>
          <w:szCs w:val="28"/>
        </w:rPr>
        <w:t>реализации проекта «Волонтерский корпус 70-летия Победы в Великой Отечественной войне 1941-1945 годов Томской области» на территории муниципального образования «Город Томск».</w:t>
      </w:r>
      <w:r w:rsidRPr="006A1224">
        <w:rPr>
          <w:rStyle w:val="FontStyle38"/>
          <w:sz w:val="28"/>
          <w:szCs w:val="28"/>
        </w:rPr>
        <w:t xml:space="preserve"> </w:t>
      </w:r>
      <w:r w:rsidRPr="006A1224">
        <w:rPr>
          <w:rStyle w:val="FontStyle39"/>
          <w:sz w:val="28"/>
          <w:szCs w:val="28"/>
        </w:rPr>
        <w:t xml:space="preserve">Количество подготовленных волонтеров - 580 человек по направлениям: «Сервисное </w:t>
      </w:r>
      <w:proofErr w:type="spellStart"/>
      <w:r w:rsidRPr="006A1224">
        <w:rPr>
          <w:rStyle w:val="FontStyle39"/>
          <w:sz w:val="28"/>
          <w:szCs w:val="28"/>
        </w:rPr>
        <w:t>волонтерство</w:t>
      </w:r>
      <w:proofErr w:type="spellEnd"/>
      <w:r w:rsidRPr="006A1224">
        <w:rPr>
          <w:rStyle w:val="FontStyle39"/>
          <w:sz w:val="28"/>
          <w:szCs w:val="28"/>
        </w:rPr>
        <w:t>», «Помощь ветеранам», «Благоустройство».</w:t>
      </w:r>
    </w:p>
    <w:p w:rsidR="006A1224" w:rsidRPr="006A1224" w:rsidRDefault="006A1224" w:rsidP="006A1224">
      <w:pPr>
        <w:pStyle w:val="Style6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Волонтерами были проведены </w:t>
      </w:r>
      <w:proofErr w:type="spellStart"/>
      <w:r w:rsidRPr="006A1224">
        <w:rPr>
          <w:rStyle w:val="FontStyle39"/>
          <w:sz w:val="28"/>
          <w:szCs w:val="28"/>
        </w:rPr>
        <w:t>благоустроительные</w:t>
      </w:r>
      <w:proofErr w:type="spellEnd"/>
      <w:r w:rsidRPr="006A1224">
        <w:rPr>
          <w:rStyle w:val="FontStyle39"/>
          <w:sz w:val="28"/>
          <w:szCs w:val="28"/>
        </w:rPr>
        <w:t xml:space="preserve"> работы на 14 памятных местах и 11 местах воинских захоронений ветеранов. Управлением молодежной политики совместно с профильными структурными подразделениями администрации Города Томска и администрациями районов Города Томска осуществлено обеспечение волонтеров инвентарем, транспортом, </w:t>
      </w:r>
      <w:proofErr w:type="spellStart"/>
      <w:proofErr w:type="gramStart"/>
      <w:r w:rsidRPr="006A1224">
        <w:rPr>
          <w:rStyle w:val="FontStyle39"/>
          <w:sz w:val="28"/>
          <w:szCs w:val="28"/>
        </w:rPr>
        <w:t>противо</w:t>
      </w:r>
      <w:proofErr w:type="spellEnd"/>
      <w:r w:rsidRPr="006A1224">
        <w:rPr>
          <w:rStyle w:val="FontStyle39"/>
          <w:sz w:val="28"/>
          <w:szCs w:val="28"/>
        </w:rPr>
        <w:t xml:space="preserve"> клещевым</w:t>
      </w:r>
      <w:proofErr w:type="gramEnd"/>
      <w:r w:rsidRPr="006A1224">
        <w:rPr>
          <w:rStyle w:val="FontStyle39"/>
          <w:sz w:val="28"/>
          <w:szCs w:val="28"/>
        </w:rPr>
        <w:t xml:space="preserve"> и препаратами, а также организационное и информационное сопровождение.</w:t>
      </w:r>
    </w:p>
    <w:p w:rsidR="006A1224" w:rsidRPr="006A1224" w:rsidRDefault="006A1224" w:rsidP="006A1224">
      <w:pPr>
        <w:pStyle w:val="Style6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Для участия в Параде 09.05.2015 управлением молодежной политики были подготовлены: колонна </w:t>
      </w:r>
      <w:proofErr w:type="spellStart"/>
      <w:r w:rsidRPr="006A1224">
        <w:rPr>
          <w:rStyle w:val="FontStyle39"/>
          <w:sz w:val="28"/>
          <w:szCs w:val="28"/>
        </w:rPr>
        <w:t>флагоносцев</w:t>
      </w:r>
      <w:proofErr w:type="spellEnd"/>
      <w:r w:rsidRPr="006A1224">
        <w:rPr>
          <w:rStyle w:val="FontStyle39"/>
          <w:sz w:val="28"/>
          <w:szCs w:val="28"/>
        </w:rPr>
        <w:t>, знаменный взвод, пронесший копию Знамени Победы в Великой Отечественной войне размером 10x20 м во время праздничного Парада 9 мая, колонна с портретами маршалов Победы.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5) </w:t>
      </w:r>
      <w:r w:rsidRPr="006A1224">
        <w:rPr>
          <w:rStyle w:val="FontStyle38"/>
          <w:b w:val="0"/>
          <w:i w:val="0"/>
          <w:sz w:val="28"/>
          <w:szCs w:val="28"/>
        </w:rPr>
        <w:t xml:space="preserve">Организация </w:t>
      </w:r>
      <w:proofErr w:type="gramStart"/>
      <w:r w:rsidRPr="006A1224">
        <w:rPr>
          <w:rStyle w:val="FontStyle38"/>
          <w:b w:val="0"/>
          <w:i w:val="0"/>
          <w:sz w:val="28"/>
          <w:szCs w:val="28"/>
        </w:rPr>
        <w:t>участия представителей молодежи города Томска</w:t>
      </w:r>
      <w:proofErr w:type="gramEnd"/>
      <w:r w:rsidRPr="006A1224">
        <w:rPr>
          <w:rStyle w:val="FontStyle38"/>
          <w:b w:val="0"/>
          <w:i w:val="0"/>
          <w:sz w:val="28"/>
          <w:szCs w:val="28"/>
        </w:rPr>
        <w:t xml:space="preserve"> в федеральных, региональных форумах и мероприятиях.</w:t>
      </w:r>
      <w:r w:rsidRPr="006A1224">
        <w:rPr>
          <w:rStyle w:val="FontStyle38"/>
          <w:sz w:val="28"/>
          <w:szCs w:val="28"/>
        </w:rPr>
        <w:t xml:space="preserve"> </w:t>
      </w:r>
      <w:r w:rsidRPr="006A1224">
        <w:rPr>
          <w:rStyle w:val="FontStyle39"/>
          <w:sz w:val="28"/>
          <w:szCs w:val="28"/>
        </w:rPr>
        <w:t xml:space="preserve">В 2015 году впервые была организована </w:t>
      </w:r>
      <w:r w:rsidRPr="006A1224">
        <w:rPr>
          <w:rStyle w:val="FontStyle39"/>
          <w:sz w:val="28"/>
          <w:szCs w:val="28"/>
        </w:rPr>
        <w:lastRenderedPageBreak/>
        <w:t>отправка 26 представителей молодежи города Томска на форумы, в том числе на молодежный форум «РИТМ» (Омская область), Международный молодежный форум «Территория инициативной молодежи «Бирюса-2015» (Красноярский край), Всероссийский молодежный образовательный форум «Таврида» (Республика Крым),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Всероссийский молодёжный форум «Территория смыслов на </w:t>
      </w:r>
      <w:proofErr w:type="spellStart"/>
      <w:r w:rsidRPr="006A1224">
        <w:rPr>
          <w:rStyle w:val="FontStyle39"/>
          <w:sz w:val="28"/>
          <w:szCs w:val="28"/>
        </w:rPr>
        <w:t>Клязьме</w:t>
      </w:r>
      <w:proofErr w:type="spellEnd"/>
      <w:r w:rsidRPr="006A1224">
        <w:rPr>
          <w:rStyle w:val="FontStyle39"/>
          <w:sz w:val="28"/>
          <w:szCs w:val="28"/>
        </w:rPr>
        <w:t>» (Владимирская область).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6) </w:t>
      </w:r>
      <w:r w:rsidRPr="006A1224">
        <w:rPr>
          <w:rStyle w:val="FontStyle38"/>
          <w:b w:val="0"/>
          <w:i w:val="0"/>
          <w:sz w:val="28"/>
          <w:szCs w:val="28"/>
        </w:rPr>
        <w:t>Проект «Городское лето».</w:t>
      </w:r>
      <w:r w:rsidRPr="006A1224">
        <w:rPr>
          <w:rStyle w:val="FontStyle38"/>
          <w:sz w:val="28"/>
          <w:szCs w:val="28"/>
        </w:rPr>
        <w:t xml:space="preserve"> </w:t>
      </w:r>
      <w:r w:rsidRPr="006A1224">
        <w:rPr>
          <w:rStyle w:val="FontStyle39"/>
          <w:sz w:val="28"/>
          <w:szCs w:val="28"/>
        </w:rPr>
        <w:t>В 10-й раз реализован ежегодный проект «Городское лето», проводимый администрацией Города Томска совместно с Томским государственным педагогическим университетом. Целевая аудитория - дети и подростки до 14 лет, проводящие летние каникулы в городе (примерно 800 детей ежегодно). Целью проекта является обеспечение занятости детей в период летних каникул.</w:t>
      </w:r>
    </w:p>
    <w:p w:rsidR="006A1224" w:rsidRPr="006A1224" w:rsidRDefault="006A1224" w:rsidP="006A1224">
      <w:pPr>
        <w:pStyle w:val="Style6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>Период реализации проекта - июль-август, включающие 4 сезона, каждый из которых включает 8 игровых площадок (всего за лето - 32 площадки). Продолжительность каждого сезона — 2 недели. Программа площадок разнообразна: творческие мастерские, игры, конкурсы, спортивные эстафеты, игры в футбол, интеллектуальные занятия, коллективные тренинги, возрождение традиций забытых дворовых игр.</w:t>
      </w:r>
    </w:p>
    <w:p w:rsidR="006A1224" w:rsidRPr="006A1224" w:rsidRDefault="006A1224" w:rsidP="006A1224">
      <w:pPr>
        <w:pStyle w:val="Style6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>Каждый год проект имеет общую тематическую направленность: 2014 год был посвящен теме героев и итогам прошедших Олимпийских игр, тематика 2015 год была разработана с учетом объявления 2015 года в России Годом литературы и была посвящена литературе — «Сочиняй страну чудес».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7) </w:t>
      </w:r>
      <w:r w:rsidRPr="006A1224">
        <w:rPr>
          <w:rStyle w:val="FontStyle38"/>
          <w:b w:val="0"/>
          <w:i w:val="0"/>
          <w:sz w:val="28"/>
          <w:szCs w:val="28"/>
        </w:rPr>
        <w:t>Городской проект «Трудовое лето».</w:t>
      </w:r>
      <w:r w:rsidRPr="006A1224">
        <w:rPr>
          <w:rStyle w:val="FontStyle38"/>
          <w:sz w:val="28"/>
          <w:szCs w:val="28"/>
        </w:rPr>
        <w:t xml:space="preserve"> </w:t>
      </w:r>
      <w:proofErr w:type="gramStart"/>
      <w:r w:rsidRPr="006A1224">
        <w:rPr>
          <w:rStyle w:val="FontStyle39"/>
          <w:sz w:val="28"/>
          <w:szCs w:val="28"/>
        </w:rPr>
        <w:t>Для реализации постановления администрации Города Томска от 26.07.2011 №795 «Об организации временного трудоустройства несовершеннолетних граждан в возрасте от 14 до 18 лет в свободное от учебы время на территории муниципального образования «Город Томск» в бюджете муниципального образования «Город Томск» предусмотрено 2 175,4 тыс. руб. (департамент образования - 1090 тыс. руб., управление культуры - 155 тыс. руб., управление физической культуры и спорта - 930,4</w:t>
      </w:r>
      <w:proofErr w:type="gramEnd"/>
      <w:r w:rsidRPr="006A1224">
        <w:rPr>
          <w:rStyle w:val="FontStyle39"/>
          <w:sz w:val="28"/>
          <w:szCs w:val="28"/>
        </w:rPr>
        <w:t xml:space="preserve"> тыс. руб.). Средства, выделенные муниципалитетом, позволили создать 179 рабочих мест. На каждое рабочее место было трудоустроено от 2 до 4 человек (в зависимости от учреждения).</w:t>
      </w:r>
    </w:p>
    <w:p w:rsidR="006A1224" w:rsidRPr="006A1224" w:rsidRDefault="006A1224" w:rsidP="006A1224">
      <w:pPr>
        <w:pStyle w:val="Style6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>Совместно с ОГКУ «Центр занятости населения города Томска и Томского района» в 2015 году было трудоустроено 1115 человек.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8) С сентября по декабрь 2015 года была реализована программа по вовлечению подростков и молодёжи в деятельность по профилактике наркомании и популяризации здорового образа жизни </w:t>
      </w:r>
      <w:r w:rsidRPr="006A1224">
        <w:rPr>
          <w:rStyle w:val="FontStyle40"/>
          <w:b w:val="0"/>
          <w:sz w:val="28"/>
          <w:szCs w:val="28"/>
        </w:rPr>
        <w:t>«Марафон здоровья».</w:t>
      </w:r>
      <w:r w:rsidRPr="006A1224">
        <w:rPr>
          <w:rStyle w:val="FontStyle40"/>
          <w:sz w:val="28"/>
          <w:szCs w:val="28"/>
        </w:rPr>
        <w:t xml:space="preserve"> </w:t>
      </w:r>
      <w:r w:rsidRPr="006A1224">
        <w:rPr>
          <w:rStyle w:val="FontStyle39"/>
          <w:sz w:val="28"/>
          <w:szCs w:val="28"/>
        </w:rPr>
        <w:t xml:space="preserve">Программа проводилась в 4 этапа: 1 этап </w:t>
      </w:r>
      <w:proofErr w:type="gramStart"/>
      <w:r w:rsidRPr="006A1224">
        <w:rPr>
          <w:rStyle w:val="FontStyle39"/>
          <w:sz w:val="28"/>
          <w:szCs w:val="28"/>
        </w:rPr>
        <w:t>-ф</w:t>
      </w:r>
      <w:proofErr w:type="gramEnd"/>
      <w:r w:rsidRPr="006A1224">
        <w:rPr>
          <w:rStyle w:val="FontStyle39"/>
          <w:sz w:val="28"/>
          <w:szCs w:val="28"/>
        </w:rPr>
        <w:t>отоконкурс «Здоровье - мой выбор», 2 этап - интеллектуальные викторины «</w:t>
      </w:r>
      <w:proofErr w:type="spellStart"/>
      <w:r w:rsidRPr="006A1224">
        <w:rPr>
          <w:rStyle w:val="FontStyle39"/>
          <w:sz w:val="28"/>
          <w:szCs w:val="28"/>
        </w:rPr>
        <w:t>Квиз</w:t>
      </w:r>
      <w:proofErr w:type="spellEnd"/>
      <w:r w:rsidRPr="006A1224">
        <w:rPr>
          <w:rStyle w:val="FontStyle39"/>
          <w:sz w:val="28"/>
          <w:szCs w:val="28"/>
        </w:rPr>
        <w:t xml:space="preserve"> «Здоровье», 3 этап - конкурс творческих видео-работ «Мы - здоровое поколение!», 4 этап - проведение тестовых соревнований сдачи волонтерскими командами норм ГТО. Участие в программе приняли 38 команд волонтёрских организаций из учреждений общего, среднего профессионального и высшего образования города Томска. Общий охват молодежи составил 15 000 чел.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9) </w:t>
      </w:r>
      <w:r w:rsidRPr="006A1224">
        <w:rPr>
          <w:rStyle w:val="FontStyle38"/>
          <w:b w:val="0"/>
          <w:i w:val="0"/>
          <w:sz w:val="28"/>
          <w:szCs w:val="28"/>
        </w:rPr>
        <w:t>Проведен конкурс молодежных социальных проектов на предоставление муниципального гранта «Новая молодежная политика».</w:t>
      </w:r>
      <w:r w:rsidRPr="006A1224">
        <w:rPr>
          <w:rStyle w:val="FontStyle38"/>
          <w:sz w:val="28"/>
          <w:szCs w:val="28"/>
        </w:rPr>
        <w:t xml:space="preserve"> </w:t>
      </w:r>
      <w:r w:rsidRPr="006A1224">
        <w:rPr>
          <w:rStyle w:val="FontStyle39"/>
          <w:sz w:val="28"/>
          <w:szCs w:val="28"/>
        </w:rPr>
        <w:t xml:space="preserve">Всего на конкурс в 2015 </w:t>
      </w:r>
      <w:r w:rsidRPr="006A1224">
        <w:rPr>
          <w:rStyle w:val="FontStyle39"/>
          <w:sz w:val="28"/>
          <w:szCs w:val="28"/>
        </w:rPr>
        <w:lastRenderedPageBreak/>
        <w:t xml:space="preserve">году было подано 48 проектов, из них 19 были отклонены по формальному признаку, до конкурса допущено 29 проектов. По результатам конкурсного отбора определено 13 проектов победителей на общую сумму 2 500 тыс. руб. Реализация проектов осуществлялась в период с 30.06.2015 по 15.11.2015. В 2014 году было подано 33 проекта, </w:t>
      </w:r>
      <w:proofErr w:type="spellStart"/>
      <w:r w:rsidRPr="006A1224">
        <w:rPr>
          <w:rStyle w:val="FontStyle39"/>
          <w:sz w:val="28"/>
          <w:szCs w:val="28"/>
        </w:rPr>
        <w:t>грантовую</w:t>
      </w:r>
      <w:proofErr w:type="spellEnd"/>
      <w:r w:rsidRPr="006A1224">
        <w:rPr>
          <w:rStyle w:val="FontStyle39"/>
          <w:sz w:val="28"/>
          <w:szCs w:val="28"/>
        </w:rPr>
        <w:t xml:space="preserve"> поддержку получили 15 проектов-победителей.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10) </w:t>
      </w:r>
      <w:r w:rsidRPr="006A1224">
        <w:rPr>
          <w:rStyle w:val="FontStyle38"/>
          <w:b w:val="0"/>
          <w:i w:val="0"/>
          <w:sz w:val="28"/>
          <w:szCs w:val="28"/>
        </w:rPr>
        <w:t>Учреждение и выплата именных стипендий.</w:t>
      </w:r>
      <w:r w:rsidRPr="006A1224">
        <w:rPr>
          <w:rStyle w:val="FontStyle38"/>
          <w:sz w:val="28"/>
          <w:szCs w:val="28"/>
        </w:rPr>
        <w:t xml:space="preserve"> </w:t>
      </w:r>
      <w:r w:rsidRPr="006A1224">
        <w:rPr>
          <w:rStyle w:val="FontStyle39"/>
          <w:sz w:val="28"/>
          <w:szCs w:val="28"/>
        </w:rPr>
        <w:t xml:space="preserve">Реализованы стипендиальные программы для одаренной и талантливой молодежи, имеющей достижения в научной, спортивной, творческой и общественной деятельности. В 2015 году было назначено </w:t>
      </w:r>
      <w:proofErr w:type="gramStart"/>
      <w:r w:rsidRPr="006A1224">
        <w:rPr>
          <w:rStyle w:val="FontStyle39"/>
          <w:sz w:val="28"/>
          <w:szCs w:val="28"/>
        </w:rPr>
        <w:t>ПО</w:t>
      </w:r>
      <w:proofErr w:type="gramEnd"/>
      <w:r w:rsidRPr="006A1224">
        <w:rPr>
          <w:rStyle w:val="FontStyle39"/>
          <w:sz w:val="28"/>
          <w:szCs w:val="28"/>
        </w:rPr>
        <w:t xml:space="preserve"> </w:t>
      </w:r>
      <w:proofErr w:type="gramStart"/>
      <w:r w:rsidRPr="006A1224">
        <w:rPr>
          <w:rStyle w:val="FontStyle39"/>
          <w:sz w:val="28"/>
          <w:szCs w:val="28"/>
        </w:rPr>
        <w:t>стипендий</w:t>
      </w:r>
      <w:proofErr w:type="gramEnd"/>
      <w:r w:rsidRPr="006A1224">
        <w:rPr>
          <w:rStyle w:val="FontStyle39"/>
          <w:sz w:val="28"/>
          <w:szCs w:val="28"/>
        </w:rPr>
        <w:t xml:space="preserve"> в размере от 500 до 2 000 руб.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11) </w:t>
      </w:r>
      <w:r w:rsidRPr="006A1224">
        <w:rPr>
          <w:rStyle w:val="FontStyle38"/>
          <w:b w:val="0"/>
          <w:i w:val="0"/>
          <w:sz w:val="28"/>
          <w:szCs w:val="28"/>
        </w:rPr>
        <w:t>Реализация проекта «Центр гражданского воспитания детей и молодежи».</w:t>
      </w:r>
      <w:r w:rsidRPr="006A1224">
        <w:rPr>
          <w:rStyle w:val="FontStyle38"/>
          <w:sz w:val="28"/>
          <w:szCs w:val="28"/>
        </w:rPr>
        <w:t xml:space="preserve"> </w:t>
      </w:r>
      <w:r w:rsidRPr="006A1224">
        <w:rPr>
          <w:rStyle w:val="FontStyle39"/>
          <w:sz w:val="28"/>
          <w:szCs w:val="28"/>
        </w:rPr>
        <w:t>В 2015 году был апробирован новый проект, ориентированный на консолидацию усилий общественных и государственных организаций в сфере гражданского и патриотического воспитания молодежи.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 </w:t>
      </w:r>
      <w:proofErr w:type="gramStart"/>
      <w:r w:rsidRPr="006A1224">
        <w:rPr>
          <w:rStyle w:val="FontStyle39"/>
          <w:sz w:val="28"/>
          <w:szCs w:val="28"/>
        </w:rPr>
        <w:t>В ходе реализации проекта был проведен мониторинг общественных организаций, на основе которого составлен реестр организаций, занимающихся патриотическим воспитанием молодежи, проведено 15 молодежных проектов, с численностью участников 4 ООО человек, оказаны консультации и проведены тематические круглые столы для общественных организаций, занимающихся патриотическим воспитание молодежи, оказана методическая и информационная поддержка мероприятий общественных организаций, проведено обучение 25 сотрудников организаций профиля гражданского и патриотического</w:t>
      </w:r>
      <w:proofErr w:type="gramEnd"/>
      <w:r w:rsidRPr="006A1224">
        <w:rPr>
          <w:rStyle w:val="FontStyle39"/>
          <w:sz w:val="28"/>
          <w:szCs w:val="28"/>
        </w:rPr>
        <w:t xml:space="preserve"> воспитания по теме «Новые методы гражданского и патриотического воспитания». Работу в данном направлении планируется продолжить в 2016 году.</w:t>
      </w:r>
    </w:p>
    <w:p w:rsidR="006A1224" w:rsidRPr="006A1224" w:rsidRDefault="006A1224" w:rsidP="006A1224">
      <w:pPr>
        <w:pStyle w:val="Style11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12) В 2015 году помимо текущих плановых мероприятий по популяризации ЗОЖ, внимание было уделено разработке и размещению социальной рекламы по профилактике наркомании и пропаганде ЗОЖ. Демонстрация видеороликов осуществлялась на телеканалах СТС и Россия 1, с многотысячной зрительской аудиторией. Общее количество выходов видеороликов, в т.ч. и в </w:t>
      </w:r>
      <w:proofErr w:type="spellStart"/>
      <w:r w:rsidRPr="006A1224">
        <w:rPr>
          <w:rStyle w:val="FontStyle39"/>
          <w:sz w:val="28"/>
          <w:szCs w:val="28"/>
        </w:rPr>
        <w:t>прайм-тайм</w:t>
      </w:r>
      <w:proofErr w:type="spellEnd"/>
      <w:r w:rsidRPr="006A1224">
        <w:rPr>
          <w:rStyle w:val="FontStyle39"/>
          <w:sz w:val="28"/>
          <w:szCs w:val="28"/>
        </w:rPr>
        <w:t xml:space="preserve">, составило - 78. В проведении информационной кампания была </w:t>
      </w:r>
      <w:proofErr w:type="spellStart"/>
      <w:r w:rsidRPr="006A1224">
        <w:rPr>
          <w:rStyle w:val="FontStyle39"/>
          <w:sz w:val="28"/>
          <w:szCs w:val="28"/>
        </w:rPr>
        <w:t>задействовована</w:t>
      </w:r>
      <w:proofErr w:type="spellEnd"/>
      <w:r w:rsidRPr="006A1224">
        <w:rPr>
          <w:rStyle w:val="FontStyle39"/>
          <w:sz w:val="28"/>
          <w:szCs w:val="28"/>
        </w:rPr>
        <w:t xml:space="preserve"> сеть </w:t>
      </w:r>
      <w:r w:rsidRPr="006A1224">
        <w:rPr>
          <w:rStyle w:val="FontStyle39"/>
          <w:sz w:val="28"/>
          <w:szCs w:val="28"/>
          <w:lang w:val="en-US"/>
        </w:rPr>
        <w:t>Internet</w:t>
      </w:r>
      <w:r w:rsidRPr="006A1224">
        <w:rPr>
          <w:rStyle w:val="FontStyle39"/>
          <w:sz w:val="28"/>
          <w:szCs w:val="28"/>
        </w:rPr>
        <w:t xml:space="preserve"> - создан специальный сайт </w:t>
      </w:r>
      <w:proofErr w:type="spellStart"/>
      <w:r w:rsidRPr="006A1224">
        <w:rPr>
          <w:rStyle w:val="FontStyle39"/>
          <w:sz w:val="28"/>
          <w:szCs w:val="28"/>
        </w:rPr>
        <w:t>Стопнаркомания.рф</w:t>
      </w:r>
      <w:proofErr w:type="spellEnd"/>
      <w:r w:rsidRPr="006A1224">
        <w:rPr>
          <w:rStyle w:val="FontStyle39"/>
          <w:sz w:val="28"/>
          <w:szCs w:val="28"/>
        </w:rPr>
        <w:t>.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13) </w:t>
      </w:r>
      <w:r w:rsidRPr="006A1224">
        <w:rPr>
          <w:rStyle w:val="FontStyle38"/>
          <w:b w:val="0"/>
          <w:i w:val="0"/>
          <w:sz w:val="28"/>
          <w:szCs w:val="28"/>
        </w:rPr>
        <w:t>Реализован ряд крупных проектов, направленных па творческую самореализацию молодежи.</w:t>
      </w:r>
      <w:r w:rsidRPr="006A1224">
        <w:rPr>
          <w:rStyle w:val="FontStyle38"/>
          <w:sz w:val="28"/>
          <w:szCs w:val="28"/>
        </w:rPr>
        <w:t xml:space="preserve"> </w:t>
      </w:r>
      <w:r w:rsidRPr="006A1224">
        <w:rPr>
          <w:rStyle w:val="FontStyle39"/>
          <w:sz w:val="28"/>
          <w:szCs w:val="28"/>
        </w:rPr>
        <w:t xml:space="preserve">Это такие проекты, как: Томский этап Всероссийского фестиваля «Российская студенческая весна», форум традиционных культур «Томский </w:t>
      </w:r>
      <w:proofErr w:type="spellStart"/>
      <w:r w:rsidRPr="006A1224">
        <w:rPr>
          <w:rStyle w:val="FontStyle39"/>
          <w:sz w:val="28"/>
          <w:szCs w:val="28"/>
        </w:rPr>
        <w:t>Этнофорум</w:t>
      </w:r>
      <w:proofErr w:type="spellEnd"/>
      <w:r w:rsidRPr="006A1224">
        <w:rPr>
          <w:rStyle w:val="FontStyle39"/>
          <w:sz w:val="28"/>
          <w:szCs w:val="28"/>
        </w:rPr>
        <w:t>», XVI Межрегиональный фестиваль интеллектуальны игр «Сибирские Афины», конкурс по определению актерских способностей «</w:t>
      </w:r>
      <w:r w:rsidRPr="006A1224">
        <w:rPr>
          <w:rStyle w:val="FontStyle39"/>
          <w:sz w:val="28"/>
          <w:szCs w:val="28"/>
          <w:lang w:val="en-US"/>
        </w:rPr>
        <w:t>CAST</w:t>
      </w:r>
      <w:r w:rsidRPr="006A1224">
        <w:rPr>
          <w:rStyle w:val="FontStyle39"/>
          <w:sz w:val="28"/>
          <w:szCs w:val="28"/>
        </w:rPr>
        <w:t xml:space="preserve">: тебя заметили!», международный фестиваль-конкурс современной и народной хореографии, Фестиваль студенческих театральных эстрадных коллективов университетов «Апрельский </w:t>
      </w:r>
      <w:proofErr w:type="spellStart"/>
      <w:r w:rsidRPr="006A1224">
        <w:rPr>
          <w:rStyle w:val="FontStyle39"/>
          <w:sz w:val="28"/>
          <w:szCs w:val="28"/>
        </w:rPr>
        <w:t>Аплодисмент</w:t>
      </w:r>
      <w:proofErr w:type="spellEnd"/>
      <w:r w:rsidRPr="006A1224">
        <w:rPr>
          <w:rStyle w:val="FontStyle39"/>
          <w:sz w:val="28"/>
          <w:szCs w:val="28"/>
        </w:rPr>
        <w:t>» и др.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14) 28.06.2015 в новом формате состоялось празднование Дня </w:t>
      </w:r>
      <w:r w:rsidRPr="006A1224">
        <w:rPr>
          <w:rStyle w:val="FontStyle38"/>
          <w:sz w:val="28"/>
          <w:szCs w:val="28"/>
        </w:rPr>
        <w:t xml:space="preserve">молодежи России </w:t>
      </w:r>
      <w:r w:rsidRPr="006A1224">
        <w:rPr>
          <w:rStyle w:val="FontStyle39"/>
          <w:sz w:val="28"/>
          <w:szCs w:val="28"/>
        </w:rPr>
        <w:t>на территории Губернаторского квартала. В мероприятии приняло участие около 20 000 чел.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15) Ярким событием стал ежегодный </w:t>
      </w:r>
      <w:r w:rsidRPr="006A1224">
        <w:rPr>
          <w:rStyle w:val="FontStyle38"/>
          <w:b w:val="0"/>
          <w:i w:val="0"/>
          <w:sz w:val="28"/>
          <w:szCs w:val="28"/>
        </w:rPr>
        <w:t>фестиваль творческой самодеятельности студентов и работающей молодежи «Молодежный формат»,</w:t>
      </w:r>
      <w:r w:rsidRPr="006A1224">
        <w:rPr>
          <w:rStyle w:val="FontStyle38"/>
          <w:sz w:val="28"/>
          <w:szCs w:val="28"/>
        </w:rPr>
        <w:t xml:space="preserve"> </w:t>
      </w:r>
      <w:r w:rsidRPr="006A1224">
        <w:rPr>
          <w:rStyle w:val="FontStyle39"/>
          <w:sz w:val="28"/>
          <w:szCs w:val="28"/>
        </w:rPr>
        <w:t>собравший более 800 талантливых студентов и молодых специалистов, а также около 2500 зрителей за 4 дня фестиваля.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16) В 8 раз объединил работающую молодежь Томска ежегодный </w:t>
      </w:r>
      <w:r w:rsidRPr="006A1224">
        <w:rPr>
          <w:rStyle w:val="FontStyle38"/>
          <w:sz w:val="28"/>
          <w:szCs w:val="28"/>
        </w:rPr>
        <w:t xml:space="preserve">слет «Маевка», </w:t>
      </w:r>
      <w:r w:rsidRPr="006A1224">
        <w:rPr>
          <w:rStyle w:val="FontStyle39"/>
          <w:sz w:val="28"/>
          <w:szCs w:val="28"/>
        </w:rPr>
        <w:t xml:space="preserve">проходивший территории перед </w:t>
      </w:r>
      <w:proofErr w:type="spellStart"/>
      <w:r w:rsidRPr="006A1224">
        <w:rPr>
          <w:rStyle w:val="FontStyle39"/>
          <w:sz w:val="28"/>
          <w:szCs w:val="28"/>
        </w:rPr>
        <w:t>Ларинским</w:t>
      </w:r>
      <w:proofErr w:type="spellEnd"/>
      <w:r w:rsidRPr="006A1224">
        <w:rPr>
          <w:rStyle w:val="FontStyle39"/>
          <w:sz w:val="28"/>
          <w:szCs w:val="28"/>
        </w:rPr>
        <w:t xml:space="preserve"> заказником. Свыше 300 человек с </w:t>
      </w:r>
      <w:r w:rsidRPr="006A1224">
        <w:rPr>
          <w:rStyle w:val="FontStyle39"/>
          <w:sz w:val="28"/>
          <w:szCs w:val="28"/>
        </w:rPr>
        <w:lastRenderedPageBreak/>
        <w:t>крупнейших томских предприятий ООО «</w:t>
      </w:r>
      <w:proofErr w:type="spellStart"/>
      <w:r w:rsidRPr="006A1224">
        <w:rPr>
          <w:rStyle w:val="FontStyle39"/>
          <w:sz w:val="28"/>
          <w:szCs w:val="28"/>
        </w:rPr>
        <w:t>Газпрпомтрансгаз</w:t>
      </w:r>
      <w:proofErr w:type="spellEnd"/>
      <w:r w:rsidRPr="006A1224">
        <w:rPr>
          <w:rStyle w:val="FontStyle39"/>
          <w:sz w:val="28"/>
          <w:szCs w:val="28"/>
        </w:rPr>
        <w:t xml:space="preserve">», АО «Объединенная теплоэнергетическая компания» г. </w:t>
      </w:r>
      <w:proofErr w:type="spellStart"/>
      <w:r w:rsidRPr="006A1224">
        <w:rPr>
          <w:rStyle w:val="FontStyle39"/>
          <w:sz w:val="28"/>
          <w:szCs w:val="28"/>
        </w:rPr>
        <w:t>Северск</w:t>
      </w:r>
      <w:proofErr w:type="spellEnd"/>
      <w:r w:rsidRPr="006A1224">
        <w:rPr>
          <w:rStyle w:val="FontStyle39"/>
          <w:sz w:val="28"/>
          <w:szCs w:val="28"/>
        </w:rPr>
        <w:t xml:space="preserve">, Центральный банк РФ по Томской области, ООО «Стрит </w:t>
      </w:r>
      <w:proofErr w:type="spellStart"/>
      <w:r w:rsidRPr="006A1224">
        <w:rPr>
          <w:rStyle w:val="FontStyle39"/>
          <w:sz w:val="28"/>
          <w:szCs w:val="28"/>
        </w:rPr>
        <w:t>медиа</w:t>
      </w:r>
      <w:proofErr w:type="spellEnd"/>
      <w:r w:rsidRPr="006A1224">
        <w:rPr>
          <w:rStyle w:val="FontStyle39"/>
          <w:sz w:val="28"/>
          <w:szCs w:val="28"/>
        </w:rPr>
        <w:t>», ОАО «НИИ ПП», АО «</w:t>
      </w:r>
      <w:proofErr w:type="spellStart"/>
      <w:r w:rsidRPr="006A1224">
        <w:rPr>
          <w:rStyle w:val="FontStyle39"/>
          <w:sz w:val="28"/>
          <w:szCs w:val="28"/>
        </w:rPr>
        <w:t>Сибкабель</w:t>
      </w:r>
      <w:proofErr w:type="spellEnd"/>
      <w:r w:rsidRPr="006A1224">
        <w:rPr>
          <w:rStyle w:val="FontStyle39"/>
          <w:sz w:val="28"/>
          <w:szCs w:val="28"/>
        </w:rPr>
        <w:t>», ООО «</w:t>
      </w:r>
      <w:proofErr w:type="spellStart"/>
      <w:r w:rsidRPr="006A1224">
        <w:rPr>
          <w:rStyle w:val="FontStyle39"/>
          <w:sz w:val="28"/>
          <w:szCs w:val="28"/>
        </w:rPr>
        <w:t>Томскнефтехим</w:t>
      </w:r>
      <w:proofErr w:type="spellEnd"/>
      <w:r w:rsidRPr="006A1224">
        <w:rPr>
          <w:rStyle w:val="FontStyle39"/>
          <w:sz w:val="28"/>
          <w:szCs w:val="28"/>
        </w:rPr>
        <w:t>», ЗАО «НПФ «</w:t>
      </w:r>
      <w:proofErr w:type="spellStart"/>
      <w:r w:rsidRPr="006A1224">
        <w:rPr>
          <w:rStyle w:val="FontStyle39"/>
          <w:sz w:val="28"/>
          <w:szCs w:val="28"/>
        </w:rPr>
        <w:t>Микран</w:t>
      </w:r>
      <w:proofErr w:type="spellEnd"/>
      <w:r w:rsidRPr="006A1224">
        <w:rPr>
          <w:rStyle w:val="FontStyle39"/>
          <w:sz w:val="28"/>
          <w:szCs w:val="28"/>
        </w:rPr>
        <w:t xml:space="preserve">», ООО НПП «Томская электронная компания». </w:t>
      </w:r>
      <w:proofErr w:type="gramStart"/>
      <w:r w:rsidRPr="006A1224">
        <w:rPr>
          <w:rStyle w:val="FontStyle39"/>
          <w:sz w:val="28"/>
          <w:szCs w:val="28"/>
        </w:rPr>
        <w:t>ТОО Профсоюз работников здравоохранения РФ, ООО «</w:t>
      </w:r>
      <w:proofErr w:type="spellStart"/>
      <w:r w:rsidRPr="006A1224">
        <w:rPr>
          <w:rStyle w:val="FontStyle39"/>
          <w:sz w:val="28"/>
          <w:szCs w:val="28"/>
        </w:rPr>
        <w:t>КДВ-групп</w:t>
      </w:r>
      <w:proofErr w:type="spellEnd"/>
      <w:r w:rsidRPr="006A1224">
        <w:rPr>
          <w:rStyle w:val="FontStyle39"/>
          <w:sz w:val="28"/>
          <w:szCs w:val="28"/>
        </w:rPr>
        <w:t xml:space="preserve">» в течение 2-х дней проходили задания на </w:t>
      </w:r>
      <w:proofErr w:type="spellStart"/>
      <w:r w:rsidRPr="006A1224">
        <w:rPr>
          <w:rStyle w:val="FontStyle39"/>
          <w:sz w:val="28"/>
          <w:szCs w:val="28"/>
        </w:rPr>
        <w:t>сполочение</w:t>
      </w:r>
      <w:proofErr w:type="spellEnd"/>
      <w:r w:rsidRPr="006A1224">
        <w:rPr>
          <w:rStyle w:val="FontStyle39"/>
          <w:sz w:val="28"/>
          <w:szCs w:val="28"/>
        </w:rPr>
        <w:t xml:space="preserve"> и </w:t>
      </w:r>
      <w:proofErr w:type="spellStart"/>
      <w:r w:rsidRPr="006A1224">
        <w:rPr>
          <w:rStyle w:val="FontStyle39"/>
          <w:sz w:val="28"/>
          <w:szCs w:val="28"/>
        </w:rPr>
        <w:t>командообразование</w:t>
      </w:r>
      <w:proofErr w:type="spellEnd"/>
      <w:r w:rsidRPr="006A1224">
        <w:rPr>
          <w:rStyle w:val="FontStyle39"/>
          <w:sz w:val="28"/>
          <w:szCs w:val="28"/>
        </w:rPr>
        <w:t xml:space="preserve">, решали нетривиальные задачи, соревновались в творчестве и спорте, проявляли </w:t>
      </w:r>
      <w:proofErr w:type="spellStart"/>
      <w:r w:rsidRPr="006A1224">
        <w:rPr>
          <w:rStyle w:val="FontStyle39"/>
          <w:sz w:val="28"/>
          <w:szCs w:val="28"/>
        </w:rPr>
        <w:t>креативность</w:t>
      </w:r>
      <w:proofErr w:type="spellEnd"/>
      <w:r w:rsidRPr="006A1224">
        <w:rPr>
          <w:rStyle w:val="FontStyle39"/>
          <w:sz w:val="28"/>
          <w:szCs w:val="28"/>
        </w:rPr>
        <w:t xml:space="preserve"> и нестандартность мышления, общались в неформальной обстановке с представителями администрации и Думы Города Томска, по итогам встречи в администрацию поступили вопросы, волнующие работающую молодежь в сфере образования, здравоохранения, вопросов снабжения горячей водой, налогообложению</w:t>
      </w:r>
      <w:proofErr w:type="gramEnd"/>
      <w:r w:rsidRPr="006A1224">
        <w:rPr>
          <w:rStyle w:val="FontStyle39"/>
          <w:sz w:val="28"/>
          <w:szCs w:val="28"/>
        </w:rPr>
        <w:t xml:space="preserve"> и т.п., на которые им были подготовлены развернутые ответы профильных подразделений администрации.</w:t>
      </w:r>
    </w:p>
    <w:p w:rsidR="006A1224" w:rsidRPr="006A1224" w:rsidRDefault="006A1224" w:rsidP="006A1224">
      <w:pPr>
        <w:pStyle w:val="Style13"/>
        <w:widowControl/>
        <w:jc w:val="both"/>
        <w:rPr>
          <w:rStyle w:val="FontStyle40"/>
          <w:b w:val="0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17) </w:t>
      </w:r>
      <w:r w:rsidRPr="006A1224">
        <w:rPr>
          <w:rStyle w:val="FontStyle40"/>
          <w:b w:val="0"/>
          <w:sz w:val="28"/>
          <w:szCs w:val="28"/>
        </w:rPr>
        <w:t>За счет бюджета муниципального образования «Город Томск» в 2015 году финансировались расходы, по следующим подпрограммам, в рамках муниципальной программы «Доступное и комфортное жилье» на 2015-2025 годы, предусматривающим предоставление социальных выплат на цели улучшения жилищных условий: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>1. Подпрограмма «Обеспечение жильем молодых семей на территории муниципального образования «Город Томск» на 2011 -2015 годы» муниципальной программы. В рамках мероприятий данной подпрограммы предусмотрено:</w:t>
      </w:r>
    </w:p>
    <w:p w:rsidR="006A1224" w:rsidRDefault="006A1224" w:rsidP="006A1224">
      <w:pPr>
        <w:pStyle w:val="Style2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- предоставление социальных выплат молодым семьям на приобретение (строительство) жилья. Размер выплаты зависит от численного состава семьи и составляет от 249 102 руб. до 622 755 (семья из 5 человек). Социальные выплаты предоставляются на условиях </w:t>
      </w:r>
      <w:proofErr w:type="gramStart"/>
      <w:r w:rsidRPr="006A1224">
        <w:rPr>
          <w:rStyle w:val="FontStyle39"/>
          <w:sz w:val="28"/>
          <w:szCs w:val="28"/>
        </w:rPr>
        <w:t>со</w:t>
      </w:r>
      <w:proofErr w:type="gramEnd"/>
      <w:r w:rsidRPr="006A1224">
        <w:rPr>
          <w:rStyle w:val="FontStyle39"/>
          <w:sz w:val="28"/>
          <w:szCs w:val="28"/>
        </w:rPr>
        <w:t xml:space="preserve"> финансирования из трех уровней бюджетов: федерального, областного и местного. Объем </w:t>
      </w:r>
      <w:proofErr w:type="gramStart"/>
      <w:r w:rsidRPr="006A1224">
        <w:rPr>
          <w:rStyle w:val="FontStyle39"/>
          <w:sz w:val="28"/>
          <w:szCs w:val="28"/>
        </w:rPr>
        <w:t>средств, привлеченных за период 2013-2015 годов из федерального и областного бюджетов составил</w:t>
      </w:r>
      <w:proofErr w:type="gramEnd"/>
      <w:r w:rsidRPr="006A1224">
        <w:rPr>
          <w:rStyle w:val="FontStyle39"/>
          <w:sz w:val="28"/>
          <w:szCs w:val="28"/>
        </w:rPr>
        <w:t xml:space="preserve"> 69 925141,65 рублей. Объем средств местного бюджета, фактически направленных за данный период на оплату свидетельств составил 50 327 773,26 рублей. Улучшили свои жилищные условия за период 2013-2015 годов 443 молодые семьи: в 2013 году -150 молодых семей, в 2014 году - 210 молодых семьей, в 2015 - 83 молодые семьи. </w:t>
      </w:r>
    </w:p>
    <w:p w:rsidR="006A1224" w:rsidRPr="006A1224" w:rsidRDefault="006A1224" w:rsidP="006A1224">
      <w:pPr>
        <w:pStyle w:val="Style2"/>
        <w:widowControl/>
        <w:jc w:val="both"/>
        <w:rPr>
          <w:rStyle w:val="FontStyle40"/>
          <w:b w:val="0"/>
          <w:sz w:val="28"/>
          <w:szCs w:val="28"/>
        </w:rPr>
      </w:pPr>
      <w:r w:rsidRPr="006A1224">
        <w:rPr>
          <w:rStyle w:val="FontStyle40"/>
          <w:sz w:val="28"/>
          <w:szCs w:val="28"/>
        </w:rPr>
        <w:t xml:space="preserve">- </w:t>
      </w:r>
      <w:r w:rsidRPr="006A1224">
        <w:rPr>
          <w:rStyle w:val="FontStyle40"/>
          <w:b w:val="0"/>
          <w:sz w:val="28"/>
          <w:szCs w:val="28"/>
        </w:rPr>
        <w:t>субсидирование процентной ставки по ипотечным кредитам участникам</w:t>
      </w:r>
    </w:p>
    <w:p w:rsidR="006A1224" w:rsidRPr="006A1224" w:rsidRDefault="006A1224" w:rsidP="006A1224">
      <w:pPr>
        <w:pStyle w:val="Style16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40"/>
          <w:b w:val="0"/>
          <w:sz w:val="28"/>
          <w:szCs w:val="28"/>
        </w:rPr>
        <w:t xml:space="preserve">муниципальной программы «Предоставление мер социальной поддержки для улучшения жилищных условий работников муниципальных учреждений социальной сферы» на 2011-2023 годы». </w:t>
      </w:r>
      <w:r w:rsidRPr="006A1224">
        <w:rPr>
          <w:rStyle w:val="FontStyle39"/>
          <w:sz w:val="28"/>
          <w:szCs w:val="28"/>
        </w:rPr>
        <w:t>Прием документов был завершен в 2013 году, участниками программы было признано 414 заявителей.</w:t>
      </w:r>
    </w:p>
    <w:p w:rsidR="006A1224" w:rsidRPr="006A1224" w:rsidRDefault="006A1224" w:rsidP="006A1224">
      <w:pPr>
        <w:pStyle w:val="Style18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>Расходы бюджета на цели финансирования данной программы составили:</w:t>
      </w:r>
    </w:p>
    <w:p w:rsidR="006A1224" w:rsidRPr="006A1224" w:rsidRDefault="006A1224" w:rsidP="006A1224">
      <w:pPr>
        <w:pStyle w:val="Style18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>в 2013 году-64 208,51 тыс. руб.</w:t>
      </w:r>
    </w:p>
    <w:p w:rsidR="006A1224" w:rsidRPr="006A1224" w:rsidRDefault="006A1224" w:rsidP="006A1224">
      <w:pPr>
        <w:pStyle w:val="Style18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>в 2014 году - 60 763,62 тыс. руб.</w:t>
      </w:r>
    </w:p>
    <w:p w:rsidR="006A1224" w:rsidRPr="006A1224" w:rsidRDefault="006A1224" w:rsidP="006A1224">
      <w:pPr>
        <w:pStyle w:val="Style18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>в 2015 году - 56 710, 8 тыс. руб.</w:t>
      </w:r>
    </w:p>
    <w:p w:rsidR="006A1224" w:rsidRPr="006A1224" w:rsidRDefault="006A1224" w:rsidP="006A1224">
      <w:pPr>
        <w:pStyle w:val="Style13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2. </w:t>
      </w:r>
      <w:r w:rsidRPr="006A1224">
        <w:rPr>
          <w:rStyle w:val="FontStyle40"/>
          <w:b w:val="0"/>
          <w:sz w:val="28"/>
          <w:szCs w:val="28"/>
        </w:rPr>
        <w:t>Подпрограмма «Улучшение жилищных условий работников социально значимых муниципальных организаций на 2015-2025 годы».</w:t>
      </w:r>
      <w:r w:rsidRPr="006A1224">
        <w:rPr>
          <w:rStyle w:val="FontStyle40"/>
          <w:sz w:val="28"/>
          <w:szCs w:val="28"/>
        </w:rPr>
        <w:t xml:space="preserve"> </w:t>
      </w:r>
      <w:r w:rsidRPr="006A1224">
        <w:rPr>
          <w:rStyle w:val="FontStyle39"/>
          <w:sz w:val="28"/>
          <w:szCs w:val="28"/>
        </w:rPr>
        <w:t>В бюджете 2015 года на цели финансирования данной программы предусмотрено 46 205,68 тыс. рублей, в т.ч. из них:</w:t>
      </w:r>
    </w:p>
    <w:p w:rsidR="006A1224" w:rsidRPr="006A1224" w:rsidRDefault="006A1224" w:rsidP="006A1224">
      <w:pPr>
        <w:pStyle w:val="Style2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>1 051,68 рублей - средств местного бюджета, 45 154 тыс. рублей - средства, поступившие из областного бюджета.</w:t>
      </w:r>
    </w:p>
    <w:p w:rsidR="006A1224" w:rsidRPr="006A1224" w:rsidRDefault="006A1224" w:rsidP="006A1224">
      <w:pPr>
        <w:pStyle w:val="Style19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lastRenderedPageBreak/>
        <w:t>Мероприятия подпрограммы предусматривают оказание следующих мер социальной поддержки; 1) субсидирование части процентной ставки по ипотечным жилищным кредитным договорам, 2) оплату первоначального взноса в размере 150 тыс. рублей работникам «бюджетных» организаций и 100 тыс. рублей работникам «рыночного» сектора экономики, 3) работникам муниципальных образовательных учреждений, МУП «</w:t>
      </w:r>
      <w:proofErr w:type="spellStart"/>
      <w:r w:rsidRPr="006A1224">
        <w:rPr>
          <w:rStyle w:val="FontStyle39"/>
          <w:sz w:val="28"/>
          <w:szCs w:val="28"/>
        </w:rPr>
        <w:t>Спецавтохозяйство</w:t>
      </w:r>
      <w:proofErr w:type="spellEnd"/>
      <w:r w:rsidRPr="006A1224">
        <w:rPr>
          <w:rStyle w:val="FontStyle39"/>
          <w:sz w:val="28"/>
          <w:szCs w:val="28"/>
        </w:rPr>
        <w:t>» и МУП «Трамвайно - троллейбусное управление».</w:t>
      </w:r>
    </w:p>
    <w:p w:rsidR="006A1224" w:rsidRPr="006A1224" w:rsidRDefault="006A1224" w:rsidP="006A1224">
      <w:pPr>
        <w:pStyle w:val="Style19"/>
        <w:widowControl/>
        <w:jc w:val="both"/>
        <w:rPr>
          <w:rStyle w:val="FontStyle39"/>
          <w:sz w:val="28"/>
          <w:szCs w:val="28"/>
        </w:rPr>
      </w:pPr>
      <w:proofErr w:type="gramStart"/>
      <w:r w:rsidRPr="006A1224">
        <w:rPr>
          <w:rStyle w:val="FontStyle39"/>
          <w:sz w:val="28"/>
          <w:szCs w:val="28"/>
        </w:rPr>
        <w:t>По состоянию на 31.12.2015 участниками подпрограммы признаны 83 заявителя (175 человек), в т.ч. в целях получения мер социальной поддержки в виде первоначального взноса и субсидирование части процентной ставки по ипотечным жилищным кредитным договорам 68 заявителей (142 человека), в целях возмещение затрат по найму жилых помещений 15 заявителей (33 человека) работники муниципальных образовательных учреждений.</w:t>
      </w:r>
      <w:proofErr w:type="gramEnd"/>
      <w:r w:rsidRPr="006A1224">
        <w:rPr>
          <w:rStyle w:val="FontStyle39"/>
          <w:sz w:val="28"/>
          <w:szCs w:val="28"/>
        </w:rPr>
        <w:t xml:space="preserve"> Прием документов в 2016 году продолжен.</w:t>
      </w:r>
    </w:p>
    <w:p w:rsidR="006A1224" w:rsidRPr="006A1224" w:rsidRDefault="006A1224" w:rsidP="006A1224">
      <w:pPr>
        <w:pStyle w:val="Style13"/>
        <w:widowControl/>
        <w:jc w:val="both"/>
        <w:rPr>
          <w:rStyle w:val="FontStyle40"/>
          <w:sz w:val="28"/>
          <w:szCs w:val="28"/>
        </w:rPr>
      </w:pPr>
      <w:r w:rsidRPr="006A1224">
        <w:rPr>
          <w:rStyle w:val="FontStyle40"/>
          <w:sz w:val="28"/>
          <w:szCs w:val="28"/>
        </w:rPr>
        <w:t>Какие наиболее трудные проблемы не удалось решить в прошедшем году?</w:t>
      </w:r>
    </w:p>
    <w:p w:rsidR="006A1224" w:rsidRPr="006A1224" w:rsidRDefault="006A1224" w:rsidP="006A1224">
      <w:pPr>
        <w:pStyle w:val="Style18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 xml:space="preserve">В 2015 году не удалось увеличить объем средств, поступающих из областного и федерального бюджетов на цели </w:t>
      </w:r>
      <w:proofErr w:type="gramStart"/>
      <w:r w:rsidRPr="006A1224">
        <w:rPr>
          <w:rStyle w:val="FontStyle39"/>
          <w:sz w:val="28"/>
          <w:szCs w:val="28"/>
        </w:rPr>
        <w:t>со</w:t>
      </w:r>
      <w:proofErr w:type="gramEnd"/>
      <w:r w:rsidRPr="006A1224">
        <w:rPr>
          <w:rStyle w:val="FontStyle39"/>
          <w:sz w:val="28"/>
          <w:szCs w:val="28"/>
        </w:rPr>
        <w:t xml:space="preserve"> финансирования мероприятий подпрограммы «Обеспечение жильем молодых семей на территории муниципального образования поступивших из федерального бюджета на цели </w:t>
      </w:r>
      <w:proofErr w:type="spellStart"/>
      <w:r w:rsidRPr="006A1224">
        <w:rPr>
          <w:rStyle w:val="FontStyle39"/>
          <w:sz w:val="28"/>
          <w:szCs w:val="28"/>
        </w:rPr>
        <w:t>софинансирования</w:t>
      </w:r>
      <w:proofErr w:type="spellEnd"/>
      <w:r w:rsidRPr="006A1224">
        <w:rPr>
          <w:rStyle w:val="FontStyle39"/>
          <w:sz w:val="28"/>
          <w:szCs w:val="28"/>
        </w:rPr>
        <w:t xml:space="preserve"> мероприятий подпрограммы «Обеспечение жильем молодых семей» федеральной целевой программы «Жилище» на 2011-2015 годы в 7 субъектов СФО за период 2012-2015 годов показал, что Томская область и город Томск, находится среди «отстающих» по объемам средств, привлеченных из федерального бюджета на цели оказания помощи молодым семьям в улучшении жилищных условий: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2102"/>
        <w:gridCol w:w="2110"/>
        <w:gridCol w:w="1512"/>
        <w:gridCol w:w="1447"/>
        <w:gridCol w:w="2466"/>
      </w:tblGrid>
      <w:tr w:rsidR="006A1224" w:rsidRPr="006A1224" w:rsidTr="006A122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Наименование</w:t>
            </w:r>
          </w:p>
        </w:tc>
        <w:tc>
          <w:tcPr>
            <w:tcW w:w="753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Распределение субсидий из федерального бюджета бюджетам</w:t>
            </w:r>
          </w:p>
        </w:tc>
      </w:tr>
      <w:tr w:rsidR="006A1224" w:rsidRPr="006A1224" w:rsidTr="006A122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субъекта</w:t>
            </w:r>
          </w:p>
        </w:tc>
        <w:tc>
          <w:tcPr>
            <w:tcW w:w="753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 xml:space="preserve">субъектов Российской Федерации на </w:t>
            </w:r>
            <w:proofErr w:type="spellStart"/>
            <w:r w:rsidRPr="006A1224">
              <w:rPr>
                <w:rStyle w:val="FontStyle39"/>
                <w:sz w:val="28"/>
                <w:szCs w:val="28"/>
              </w:rPr>
              <w:t>софинансирование</w:t>
            </w:r>
            <w:proofErr w:type="spellEnd"/>
          </w:p>
        </w:tc>
      </w:tr>
      <w:tr w:rsidR="006A1224" w:rsidRPr="006A1224" w:rsidTr="006A12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Российской</w:t>
            </w:r>
          </w:p>
        </w:tc>
        <w:tc>
          <w:tcPr>
            <w:tcW w:w="753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 xml:space="preserve">расходных обязательств субъектов Российской Федерации </w:t>
            </w:r>
            <w:proofErr w:type="gramStart"/>
            <w:r w:rsidRPr="006A1224">
              <w:rPr>
                <w:rStyle w:val="FontStyle39"/>
                <w:sz w:val="28"/>
                <w:szCs w:val="28"/>
              </w:rPr>
              <w:t>на</w:t>
            </w:r>
            <w:proofErr w:type="gramEnd"/>
          </w:p>
        </w:tc>
      </w:tr>
      <w:tr w:rsidR="006A1224" w:rsidRPr="006A1224" w:rsidTr="006A122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Федерации</w:t>
            </w:r>
          </w:p>
        </w:tc>
        <w:tc>
          <w:tcPr>
            <w:tcW w:w="753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 xml:space="preserve">предоставление социальных выплат молодым семьям </w:t>
            </w:r>
            <w:proofErr w:type="gramStart"/>
            <w:r w:rsidRPr="006A1224">
              <w:rPr>
                <w:rStyle w:val="FontStyle39"/>
                <w:sz w:val="28"/>
                <w:szCs w:val="28"/>
              </w:rPr>
              <w:t>на</w:t>
            </w:r>
            <w:proofErr w:type="gramEnd"/>
          </w:p>
        </w:tc>
      </w:tr>
      <w:tr w:rsidR="006A1224" w:rsidRPr="006A1224" w:rsidTr="006A122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приобретение (строительство) жилья в рамках подпрограммы</w:t>
            </w:r>
          </w:p>
        </w:tc>
      </w:tr>
      <w:tr w:rsidR="006A1224" w:rsidRPr="006A1224" w:rsidTr="006A122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«Обеспечение жильем молодых семей» федеральной целевой</w:t>
            </w:r>
          </w:p>
        </w:tc>
      </w:tr>
      <w:tr w:rsidR="006A1224" w:rsidRPr="006A1224" w:rsidTr="006A122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 xml:space="preserve">программы </w:t>
            </w:r>
          </w:p>
        </w:tc>
        <w:tc>
          <w:tcPr>
            <w:tcW w:w="29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Силище» на 2011-2015 годы</w:t>
            </w:r>
          </w:p>
        </w:tc>
        <w:tc>
          <w:tcPr>
            <w:tcW w:w="2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(тыс. руб.)</w:t>
            </w:r>
          </w:p>
        </w:tc>
      </w:tr>
      <w:tr w:rsidR="006A1224" w:rsidRPr="006A1224" w:rsidTr="006A122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2012 год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2013 год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2014 год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2015 год</w:t>
            </w:r>
          </w:p>
        </w:tc>
      </w:tr>
      <w:tr w:rsidR="006A1224" w:rsidRPr="006A1224" w:rsidTr="006A122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center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1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Алтайский край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141 458,44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135 129,02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562 599,73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67 33,05</w:t>
            </w:r>
          </w:p>
        </w:tc>
      </w:tr>
      <w:tr w:rsidR="006A1224" w:rsidRPr="006A1224" w:rsidTr="006A12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center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Иркутская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68 374,63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71 681,77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87 479,98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59 566,99</w:t>
            </w:r>
          </w:p>
        </w:tc>
      </w:tr>
      <w:tr w:rsidR="006A1224" w:rsidRPr="006A1224" w:rsidTr="006A122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область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both"/>
              <w:rPr>
                <w:sz w:val="28"/>
                <w:szCs w:val="28"/>
              </w:rPr>
            </w:pPr>
          </w:p>
        </w:tc>
      </w:tr>
      <w:tr w:rsidR="006A1224" w:rsidRPr="006A1224" w:rsidTr="006A12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center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3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Красноярский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75 698,25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47 621,2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71 528,1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63 069,05</w:t>
            </w:r>
          </w:p>
        </w:tc>
      </w:tr>
      <w:tr w:rsidR="006A1224" w:rsidRPr="006A1224" w:rsidTr="006A122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край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both"/>
              <w:rPr>
                <w:sz w:val="28"/>
                <w:szCs w:val="28"/>
              </w:rPr>
            </w:pPr>
          </w:p>
        </w:tc>
      </w:tr>
      <w:tr w:rsidR="006A1224" w:rsidRPr="006A1224" w:rsidTr="006A12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center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4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Новосибирская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26 044,16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33 662,22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44 540,59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Средства не</w:t>
            </w:r>
          </w:p>
        </w:tc>
      </w:tr>
      <w:tr w:rsidR="006A1224" w:rsidRPr="006A1224" w:rsidTr="006A122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область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выделялись</w:t>
            </w:r>
          </w:p>
        </w:tc>
      </w:tr>
      <w:tr w:rsidR="006A1224" w:rsidRPr="006A1224" w:rsidTr="006A122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center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5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Бурятия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28 627,6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20 510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40 944,37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20 395,1</w:t>
            </w:r>
          </w:p>
        </w:tc>
      </w:tr>
      <w:tr w:rsidR="006A1224" w:rsidRPr="006A1224" w:rsidTr="006A12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center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6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Кемеровская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18 113,99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18 498,8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24 164,64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23 619,35</w:t>
            </w:r>
          </w:p>
        </w:tc>
      </w:tr>
      <w:tr w:rsidR="006A1224" w:rsidRPr="006A1224" w:rsidTr="006A122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область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3"/>
              <w:widowControl/>
              <w:jc w:val="both"/>
              <w:rPr>
                <w:sz w:val="28"/>
                <w:szCs w:val="28"/>
              </w:rPr>
            </w:pPr>
          </w:p>
        </w:tc>
      </w:tr>
      <w:tr w:rsidR="006A1224" w:rsidRPr="006A1224" w:rsidTr="006A1224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center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lastRenderedPageBreak/>
              <w:t>7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Томская область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39 763,39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25 63,44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21 459,97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224" w:rsidRPr="006A1224" w:rsidRDefault="006A1224" w:rsidP="006A1224">
            <w:pPr>
              <w:pStyle w:val="Style21"/>
              <w:widowControl/>
              <w:jc w:val="both"/>
              <w:rPr>
                <w:rStyle w:val="FontStyle39"/>
                <w:sz w:val="28"/>
                <w:szCs w:val="28"/>
              </w:rPr>
            </w:pPr>
            <w:r w:rsidRPr="006A1224">
              <w:rPr>
                <w:rStyle w:val="FontStyle39"/>
                <w:sz w:val="28"/>
                <w:szCs w:val="28"/>
              </w:rPr>
              <w:t>19 522,0</w:t>
            </w:r>
          </w:p>
        </w:tc>
      </w:tr>
    </w:tbl>
    <w:p w:rsidR="006A1224" w:rsidRPr="006A1224" w:rsidRDefault="006A1224" w:rsidP="006A1224">
      <w:pPr>
        <w:pStyle w:val="Style6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>Для объективности оценки следует отметить, что тенденция снижения объемов финансирования, за счет федерального бюджета, по сравнению с 2014 годом, прослеживается и в остальных субъектах СФО. Учитывая непростую экономическую ситуацию, можно прогнозировать, что в 2016 году не будет существенного увеличения объемов средств, выделяемых из федерального бюджета.</w:t>
      </w:r>
    </w:p>
    <w:p w:rsidR="006A1224" w:rsidRPr="006A1224" w:rsidRDefault="006A1224" w:rsidP="006A1224">
      <w:pPr>
        <w:pStyle w:val="Style6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>Также существенной проблемой остается отсутствие систематизации в работе с целевой группой рабочей молодежи (от 22 до 30 лет).</w:t>
      </w:r>
    </w:p>
    <w:p w:rsidR="006A1224" w:rsidRPr="006A1224" w:rsidRDefault="006A1224" w:rsidP="006A1224">
      <w:pPr>
        <w:pStyle w:val="Style4"/>
        <w:widowControl/>
        <w:jc w:val="both"/>
        <w:rPr>
          <w:rStyle w:val="FontStyle40"/>
          <w:sz w:val="28"/>
          <w:szCs w:val="28"/>
        </w:rPr>
      </w:pPr>
      <w:r w:rsidRPr="006A1224">
        <w:rPr>
          <w:rStyle w:val="FontStyle40"/>
          <w:sz w:val="28"/>
          <w:szCs w:val="28"/>
        </w:rPr>
        <w:t>Какие задачи стоят в 2016 году?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>1) Обеспечение временного трудоустройства 1400 человек (в т.ч. несовершеннолетних и студентов сводного городского трудового отряда молодежи).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>2) Организация и проведение не менее 15 мероприятий, направленных на развитие творческого потенциала молодежи.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>3) Создание студенческого отряда «Память» для благоустройства городских кладбищ.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>4) Проведение программ по популяризации здорового образа жизни.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>5) Продолжение реализации социально-благотворительного проекта «Город добрых дел».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>6) Проведение проектов по обучению молодежи основам проектной деятельности.</w:t>
      </w:r>
    </w:p>
    <w:p w:rsidR="006A1224" w:rsidRPr="006A1224" w:rsidRDefault="006A1224" w:rsidP="006A1224">
      <w:pPr>
        <w:pStyle w:val="Style5"/>
        <w:widowControl/>
        <w:jc w:val="both"/>
        <w:rPr>
          <w:rStyle w:val="FontStyle39"/>
          <w:sz w:val="28"/>
          <w:szCs w:val="28"/>
        </w:rPr>
      </w:pPr>
      <w:r w:rsidRPr="006A1224">
        <w:rPr>
          <w:rStyle w:val="FontStyle39"/>
          <w:sz w:val="28"/>
          <w:szCs w:val="28"/>
        </w:rPr>
        <w:t>7) Разработка и реализация проекта для работающей молодежи Города Томска.</w:t>
      </w:r>
    </w:p>
    <w:sectPr w:rsidR="006A1224" w:rsidRPr="006A1224" w:rsidSect="006A122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1224"/>
    <w:rsid w:val="006A1224"/>
    <w:rsid w:val="00BA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A1224"/>
  </w:style>
  <w:style w:type="paragraph" w:customStyle="1" w:styleId="Style4">
    <w:name w:val="Style4"/>
    <w:basedOn w:val="a"/>
    <w:uiPriority w:val="99"/>
    <w:rsid w:val="006A1224"/>
  </w:style>
  <w:style w:type="paragraph" w:customStyle="1" w:styleId="Style5">
    <w:name w:val="Style5"/>
    <w:basedOn w:val="a"/>
    <w:uiPriority w:val="99"/>
    <w:rsid w:val="006A1224"/>
  </w:style>
  <w:style w:type="paragraph" w:customStyle="1" w:styleId="Style6">
    <w:name w:val="Style6"/>
    <w:basedOn w:val="a"/>
    <w:uiPriority w:val="99"/>
    <w:rsid w:val="006A1224"/>
  </w:style>
  <w:style w:type="paragraph" w:customStyle="1" w:styleId="Style11">
    <w:name w:val="Style11"/>
    <w:basedOn w:val="a"/>
    <w:uiPriority w:val="99"/>
    <w:rsid w:val="006A1224"/>
  </w:style>
  <w:style w:type="paragraph" w:customStyle="1" w:styleId="Style13">
    <w:name w:val="Style13"/>
    <w:basedOn w:val="a"/>
    <w:uiPriority w:val="99"/>
    <w:rsid w:val="006A1224"/>
  </w:style>
  <w:style w:type="paragraph" w:customStyle="1" w:styleId="Style16">
    <w:name w:val="Style16"/>
    <w:basedOn w:val="a"/>
    <w:uiPriority w:val="99"/>
    <w:rsid w:val="006A1224"/>
  </w:style>
  <w:style w:type="paragraph" w:customStyle="1" w:styleId="Style18">
    <w:name w:val="Style18"/>
    <w:basedOn w:val="a"/>
    <w:uiPriority w:val="99"/>
    <w:rsid w:val="006A1224"/>
  </w:style>
  <w:style w:type="paragraph" w:customStyle="1" w:styleId="Style19">
    <w:name w:val="Style19"/>
    <w:basedOn w:val="a"/>
    <w:uiPriority w:val="99"/>
    <w:rsid w:val="006A1224"/>
  </w:style>
  <w:style w:type="paragraph" w:customStyle="1" w:styleId="Style21">
    <w:name w:val="Style21"/>
    <w:basedOn w:val="a"/>
    <w:uiPriority w:val="99"/>
    <w:rsid w:val="006A1224"/>
  </w:style>
  <w:style w:type="paragraph" w:customStyle="1" w:styleId="Style23">
    <w:name w:val="Style23"/>
    <w:basedOn w:val="a"/>
    <w:uiPriority w:val="99"/>
    <w:rsid w:val="006A1224"/>
  </w:style>
  <w:style w:type="character" w:customStyle="1" w:styleId="FontStyle38">
    <w:name w:val="Font Style38"/>
    <w:basedOn w:val="a0"/>
    <w:uiPriority w:val="99"/>
    <w:rsid w:val="006A1224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6A122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0">
    <w:name w:val="Font Style40"/>
    <w:basedOn w:val="a0"/>
    <w:uiPriority w:val="99"/>
    <w:rsid w:val="006A1224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2401</Words>
  <Characters>13689</Characters>
  <Application>Microsoft Office Word</Application>
  <DocSecurity>0</DocSecurity>
  <Lines>114</Lines>
  <Paragraphs>32</Paragraphs>
  <ScaleCrop>false</ScaleCrop>
  <Company>Microsoft</Company>
  <LinksUpToDate>false</LinksUpToDate>
  <CharactersWithSpaces>16058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2016-03-23T13:40:00Z</dcterms:created>
  <dcterms:modified xsi:type="dcterms:W3CDTF">2016-03-23T13:44:00Z</dcterms:modified>
</cp:coreProperties>
</file>