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8C" w:rsidRDefault="00A7498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НОВОКУЗНЕЦК</w:t>
      </w:r>
    </w:p>
    <w:p w:rsidR="00A7498C" w:rsidRDefault="00A749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498C" w:rsidRDefault="00A749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Новокузнецка осуществляет свои полномочия в соответствии с законодательством Российской Федерации и Кемеровской области, Уставом Новокузнецкого городского округа, нормативными правовыми актами Новокузнецкого городского Совета народных депутатов, правовыми актами, изданными Главой города, Регламентом администрации города.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связи с изменением  Устава Новокузнецкого городского округа, принятого постановлением  Новокузнецкого городского Совета народных депутатов от 27.03.2012 № 3/64, в 2012 году принята новая редакция  Регламента администрации города, которая устанавливает общие правила организации деятельности аппарата администрации города Новокузнецка, ее функциональных, отраслевых и территориальных органов по реализации их полномочий и взаимодействия в процессе выполнения возложенных на них задач социально-экономического развития городского округа. Для усовершенствования организационной деятельности администрации города было создано Управление по организационной  работе, общественным отношениям и делопроизводству. 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составе Управления  три отдела: организационный, отдел общественных отношений и отдел делопроизводства.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Организационный отдел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Осуществляет составление перспективных планов работы администрации на год, квартальных планов, организует проведение совещаний, торжественных приемов Главы города, осуществляет организационно-техническое обеспечение деятельности совещательных органов при Главе города,  подготовку поздравлений от имени Главы города руководителям Администрации Кемеровской области, руководителям Администрации города, руководителям предприятий и организаций по случаю юбилейных и памятных дат, осуществление ведомственной подписки на печатные издания, составление списков заслуженных граждан города для поздравления Губернатором Кемеровской области в связи с торжественными датами, организацию субботников, мероприятий по озеленению города, составление списков на поощрение путевками на санаторно-курортное лечение, подготовку годового календаря юбилейных и памятных дат предприятий и учреждений города, подготовку, организацию и проведение встреч Главы города с населением  и многое другое. 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2012 году были проведены следующие приемы Главы города:</w:t>
      </w:r>
    </w:p>
    <w:tbl>
      <w:tblPr>
        <w:tblW w:w="1034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Прием Главы города одаренных детей и талантливой молодежи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Прием Главы города, посвященный  Дню Российской  прокуратуры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Прием Главы города, посвященный  Дню защитника Отечества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Приём  Главы города, посвященный Дню работника культуры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Торжественное мероприятие, посвященное Международному женскому дню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Праздничные мероприятия, посвященные Празднику Весны и Труда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Торжественные мероприятия, посвященные празднованию Дня Победы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города, посвященный Дню Российского предпринимательства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pStyle w:val="BodyTextIndent"/>
              <w:spacing w:before="0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 Новокузнецка, посвященный празднованию Дня  российской молодежи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города, посвященный празднованию Дня медицинского работника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 в честь Дня социального работника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Приём Главы города, посвященный Дню внутренних войск МВД России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Торжественные мероприятия, посвященные празднованию Дня работников торговли и бытового обслуживания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Приём Главы города, посвященный Дню пожарной охраны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Торжественный прием Главы города в честь Дня социального работника 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города, посвященный празднованию Дня медицинского работника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Праздничные мероприятия, посвященные Дню города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Торжественное мероприятие, посвященное Дню работников транспорта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Мероприятие, посвященное 70 - летнему юбилею Ферросплавного завода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Губернаторский прием, посвященный профессиональному празднику - Дню Металлурга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Торжественный прием Главы города, посвященный празднованию Дня пожилого человека 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города, посвященный празднованию Дня судебных приставов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города, посвященный празднованию Дня  сотрудника  органов внутренних дел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Торжественное мероприятие, посвященное Дню работников транспорта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Торжественное мероприятие, посвященное Дню Гражданской обороны (80 лет)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Торжественное мероприятие, посвященное Дню работников судов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Торжественное мероприятие, посвященное Дню работников ФСБ России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Торжественное мероприятие, посвященное Дню спасателя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города, посвященный Дню матери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города, посвященный Дню инвалида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города, посвященный празднованию Дня работников судов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города, посвященный празднованию Дня работников ФСБ России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Торжественный прием Главы города, посвященный празднованию Дня спасателя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Праздничные мероприятия, посвященные встрече Нового года</w:t>
            </w:r>
          </w:p>
        </w:tc>
      </w:tr>
    </w:tbl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Ежемесячно и ежеквартально проводились: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</w:p>
    <w:tbl>
      <w:tblPr>
        <w:tblW w:w="1034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Заседания  штаба по финансовому мониторингу и выработке мер поддержки отраслей экономики на территории города Новокузнецка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Пресс-конференции и брифинги с участием Главы города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Балансовые комиссии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FontStyle20"/>
                <w:b w:val="0"/>
                <w:bCs w:val="0"/>
                <w:sz w:val="28"/>
                <w:szCs w:val="28"/>
              </w:rPr>
              <w:t>Заседания антинаркотической комиссии при администрации г. Новокузнецка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Заседания городской антитеррористическая комиссии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Заседания Совета по поддержке и развитию инвестиционной деятельности на территории города Новокузнецка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Городской Совет по предпринимательству  при Главе города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Городская межведомственная комиссия по поддержке малого и среднего предпринимательства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Заседания комиссии по предупреждению и ликвидации чрезвычайных ситуаций и обеспечению пожарной безопасности г. Новокузнецка</w:t>
            </w:r>
          </w:p>
        </w:tc>
      </w:tr>
      <w:tr w:rsidR="00A7498C">
        <w:trPr>
          <w:trHeight w:val="2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A7498C" w:rsidRDefault="00A7498C">
            <w:p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Заседания комиссии по чрезвычайным ситуациям</w:t>
            </w:r>
          </w:p>
        </w:tc>
      </w:tr>
    </w:tbl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2012 году организационным отделом велась  активная подготовка к празднованию 70-летия Кемеровской области. Составлялись планы юбилейных мероприятий, готовились списки на награждение жителей города, внесших большой вклад в развитие Новокузнецка и Кемеровской области. Начата подготовка к празднованию  400-летия со дня образования города Новокузнецка, которое будет отмечаться в 2018 году, в рамках этой работы был подготовлен план мероприятий по основным направлениям деятельности администрации города. </w:t>
      </w:r>
    </w:p>
    <w:p w:rsidR="00A7498C" w:rsidRDefault="00A7498C">
      <w:pPr>
        <w:ind w:left="0" w:firstLine="0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Отделом общественных отношений за период 2012 года:</w:t>
      </w:r>
    </w:p>
    <w:p w:rsidR="00A7498C" w:rsidRDefault="00A7498C">
      <w:pPr>
        <w:ind w:left="0" w:firstLine="0"/>
        <w:jc w:val="both"/>
        <w:outlineLvl w:val="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Рассмотрены 100 уведомлений  о проведении публичных и 17 культурно-массовых мероприятий, организаторами которых выступали представители политических партий, общественных, религиозных объединений и групп граждан, из них по 23-м уведомлениям  было подготовлены письма с отказом в согласовании с указанием причины.</w:t>
      </w:r>
    </w:p>
    <w:p w:rsidR="00A7498C" w:rsidRDefault="00A7498C">
      <w:pPr>
        <w:pStyle w:val="Style13"/>
        <w:widowControl/>
        <w:tabs>
          <w:tab w:val="left" w:pos="1445"/>
        </w:tabs>
        <w:spacing w:line="240" w:lineRule="auto"/>
        <w:ind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Организовано проведение 4-х заседаний  Совета старейшин при Главе города Новокузнецка, постоянно действующего совещательного органа Администрации города по рассмотрению следующих вопросов:</w:t>
      </w:r>
    </w:p>
    <w:p w:rsidR="00A7498C" w:rsidRDefault="00A7498C">
      <w:pPr>
        <w:pStyle w:val="Style13"/>
        <w:widowControl/>
        <w:tabs>
          <w:tab w:val="left" w:pos="1445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«Об эффективности работы МБУ «Управление по защите населения и территории»  города Новокузнецка» и «О принятии обращения к избирателям Президента РФ»;</w:t>
      </w:r>
    </w:p>
    <w:p w:rsidR="00A7498C" w:rsidRDefault="00A7498C">
      <w:pPr>
        <w:pStyle w:val="Style13"/>
        <w:widowControl/>
        <w:tabs>
          <w:tab w:val="left" w:pos="1445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Style w:val="FontStyle29"/>
          <w:sz w:val="28"/>
          <w:szCs w:val="28"/>
        </w:rPr>
        <w:t>- «</w:t>
      </w:r>
      <w:r>
        <w:rPr>
          <w:rFonts w:cs="Times New Roman"/>
          <w:sz w:val="28"/>
          <w:szCs w:val="28"/>
        </w:rPr>
        <w:t>О работе Отдела ГИБДД УМВД России по г. Новокузнецку по предупреждению дорожно-транспортных происшествий»;</w:t>
      </w:r>
    </w:p>
    <w:p w:rsidR="00A7498C" w:rsidRDefault="00A7498C">
      <w:pPr>
        <w:pStyle w:val="Style13"/>
        <w:widowControl/>
        <w:tabs>
          <w:tab w:val="left" w:pos="1445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Style w:val="FontStyle29"/>
          <w:sz w:val="28"/>
          <w:szCs w:val="28"/>
        </w:rPr>
        <w:t>- «</w:t>
      </w:r>
      <w:r>
        <w:rPr>
          <w:rFonts w:cs="Times New Roman"/>
          <w:sz w:val="28"/>
          <w:szCs w:val="28"/>
        </w:rPr>
        <w:t>О состоянии безопасности окружающей среды и улучшения экологической обстановки в городе»;</w:t>
      </w:r>
    </w:p>
    <w:p w:rsidR="00A7498C" w:rsidRDefault="00A7498C">
      <w:pPr>
        <w:pStyle w:val="Style13"/>
        <w:widowControl/>
        <w:tabs>
          <w:tab w:val="left" w:pos="1445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Style w:val="FontStyle29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«О мерах безопасности на объектах ОАО «Водоканал» и качестве горячей и холодной воды, поставляемой жителям» и «О плане работы Совета старейшин при Главе города Новокузнецка на 2013 год»;</w:t>
      </w:r>
    </w:p>
    <w:p w:rsidR="00A7498C" w:rsidRDefault="00A7498C">
      <w:pPr>
        <w:pStyle w:val="Style13"/>
        <w:widowControl/>
        <w:tabs>
          <w:tab w:val="left" w:pos="1445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года проводилась работа:</w:t>
      </w:r>
    </w:p>
    <w:p w:rsidR="00A7498C" w:rsidRDefault="00A7498C">
      <w:pPr>
        <w:pStyle w:val="Style13"/>
        <w:widowControl/>
        <w:tabs>
          <w:tab w:val="left" w:pos="1445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привлечению членов Совета старейшин при Главе города,  представителей ветеранских  и других общественных организаций к участию  в совещаниях, заседаниях, в мероприятиях, посвящённых празднованию памятных дат;</w:t>
      </w:r>
    </w:p>
    <w:p w:rsidR="00A7498C" w:rsidRDefault="00A7498C">
      <w:pPr>
        <w:pStyle w:val="Style13"/>
        <w:widowControl/>
        <w:tabs>
          <w:tab w:val="left" w:pos="1445"/>
        </w:tabs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по обеспечению автотранспортом для поездки в г. Кемерово членов Совета старейшин при Губернаторе Кемеровской области,  представителей ветеранских  и других общественных организаций на областные заседания и мероприятия. 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сфере взаимодействия с садоводческими некоммерческими товариществами (далее - СНТ) города Новокузнецка и Новокузнецкого района, (вместе насчитывается 489 СНТ) организованы и проведены семинары  для руководителей и бухгалтеров СНТ: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 вопросам оформления земельных участков в собственность; 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транспортным вопросам и экологии;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вопросам налоговой политики, пенсионного фонда, Управления по защите населения и территории г. Новокузнецка;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по вопросу о санитарном состоянии территорий садоводческих некоммерческих товариществ города и прилегающего к нему Новокузнецкого района; 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тему «Как стать собственником земельного участка в СНТ»;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 тему: «Охрана правопорядка, защита населения на территории садоводческих некоммерческих товариществ, расположенных в черте города Новокузнецка и Новокузнецком муниципальном районе». 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Организовано участие представителей садоводческих некоммерческих товариществ  в учениях по пожаротушению, которые проходили  в коттеджном посёлке Заводского района,  организованные  МБУ «Управление по защите населения и  территории» города Новокузнецка.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Ежеквартально организовывались заседания членов координационного совета СНТ.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года были организованы встреча представителей Новокузнецкой городской общественной организации «Жители блокадного Ленинграда», посвященная 68-й годовщине со дня снятия блокады Ленинграда, встреча представителей Новокузнецкой городской общественной организации Российского союза бывших несовершеннолетних узников фашизма, посвященная Международному Дню освобождения узников фашистских концлагерей.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Было организовано мероприятие, посвященное 27-й годовщине аварии на Чернобыльской АЭС, чествование ветеранов Великой Отечественной войны, приуроченное к празднованию Дня Победы. Приняли участие в организации мероприятия, посвященного празднованию Дня Воздушно-десантных войск. Был организован фестиваль творчества ветеранов, посвященный Дню пожилых людей. Организовано праздничное мероприятие, посвященное Дню матери, для матерей и вдов погибших военнослужащих.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Приняли участие в организации областной благотворительной акции «Помоги собраться в школу» совместно с некоммерческими организациями города.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Оказано содействие в организации мероприятия, посвященного 85-летию со дня рождения Н. С. Ермакова.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Приняли участие в организации мероприятия, посвященного Дню памяти и скорби 22 июня.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Оказано содействие в организации и проведении областного пленума, посвященного 70-летию Кемеровской области.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мероприятия, посвященного Дню памяти жертв политических репрессий.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Участие в организации мероприятия с инвалидами, посвященного Дню инвалидов.</w:t>
      </w:r>
    </w:p>
    <w:p w:rsidR="00A7498C" w:rsidRDefault="00A7498C">
      <w:pPr>
        <w:tabs>
          <w:tab w:val="left" w:pos="8364"/>
        </w:tabs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Участие в организации новогодних праздников «Елка для детей улицы», «Рождество для всех».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сфере взаимодействия с религиозными организациями: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Оказывается содействие в  привлечении органов внутренних дел для охраны правопорядка при проведении в храмах города Новокузнецка крупных религиозных праздников.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Оказано содействие в проведении турнира по волейболу на приз Администрации города среди команд: Новокузнецкой Православной Духовной семинарии; Новоильинской церкви христиан веры евангельской; Местной религиозной организации мусульман "Абду Рахмон".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Оказано содействие в подготовке и привлечении органов внутренних дел и сотрудников ГАИ для охраны правопорядка для проведения православными религиозными организациями крестных ходов.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Проведена работа по привлечению православных храмов города Новокузнецка к проведению  поминальных молебнов в честь Дня памяти и скорби за убиенных воинов, погибших в годы Великой Отечественной войны, во славу русского воинства, посвященного  торжественным мероприятиям в честь Дня Воздушно-десантных войск России и т.д.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Оказано содействие в привлечении органов внутренних дел для охраны правопорядка при проведении  местными религиозными организациями публичных мероприятий на территории города Новокузнецка.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Оказано содействие в подготовки к открытию и освящению храма Рождества  Христова 23 августа, в котором приняли участие Губернатор Кемеровской области  А. Г. Тулеев и митрополит Кемеровский Аристарх. На мероприятии было  проведено награждение всех, кто принял самое деятельное участие в  возведении храма.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Содействие в предоставлении религиозным организациям новогодних подарков  для организации детских праздников в воскресных школах. 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года оказывается содействие во вручении активистам религиозных организаций подарочных конфет и поздравления от Губернатора Кемеровской области, в связи с Международным женским днём 8 марта, Днём пожилых людей, Днём матери, Новым годом. В общей сложности  в течении года  было вручено около 420 коробок конфет.</w:t>
      </w:r>
    </w:p>
    <w:p w:rsidR="00A7498C" w:rsidRDefault="00A7498C">
      <w:pPr>
        <w:ind w:left="0" w:firstLine="0"/>
        <w:jc w:val="both"/>
        <w:rPr>
          <w:rFonts w:cs="Times New Roman"/>
          <w:color w:val="000000"/>
          <w:sz w:val="28"/>
          <w:szCs w:val="28"/>
        </w:rPr>
      </w:pPr>
      <w:bookmarkStart w:id="0" w:name="BM8_dek"/>
      <w:bookmarkEnd w:id="0"/>
      <w:r>
        <w:rPr>
          <w:rFonts w:cs="Times New Roman"/>
          <w:sz w:val="28"/>
          <w:szCs w:val="28"/>
        </w:rPr>
        <w:t xml:space="preserve">В течение года </w:t>
      </w:r>
      <w:r>
        <w:rPr>
          <w:rFonts w:cs="Times New Roman"/>
          <w:color w:val="000000"/>
          <w:sz w:val="28"/>
          <w:szCs w:val="28"/>
        </w:rPr>
        <w:t xml:space="preserve">проводится работа с религиозными организациями по противодействию пропаганды экстремизма и разжигания межнациональной и межконфессиональной розни. Достаточно большое количество людей состоят добровольцами в православных сестричествах, которые проводят работу в медицинских учреждениях, домах престарелых и иных учреждениях социальной направленности. В этой связи с этими людьми также проводится работа о том, что им необходимо доводить до сведения людей информацию о недопустимости разжигания межнациональной и межконфессиональной розни в тех учреждениях, в которых они работают. </w:t>
      </w:r>
    </w:p>
    <w:p w:rsidR="00A7498C" w:rsidRDefault="00A7498C">
      <w:pPr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Регулярно проводились беседы с представителями всех религиозных организаций о повышении бдительности при проведении служб при скоплении большого количества народа, предоставление информации со стороны религиозных организаций о том, как оснащены помещения религиозных организаций для недопущения противоправных действий (тревожные кнопки, решетки на окнах и т.д.), выяснение проблем, которые необходимо устранять для повышения безопасности пребывания людей в помещениях религиозных организаций.</w:t>
      </w:r>
    </w:p>
    <w:p w:rsidR="00A7498C" w:rsidRDefault="00A7498C">
      <w:pPr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 течение года</w:t>
      </w:r>
      <w:r>
        <w:rPr>
          <w:rFonts w:cs="Times New Roman"/>
          <w:color w:val="000000"/>
          <w:sz w:val="28"/>
          <w:szCs w:val="28"/>
        </w:rPr>
        <w:t xml:space="preserve"> собирается информация от религиозных организаций города Новокузнецка о проводимой ими социальной работе.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рамках профилактики экстремизма и терроризма ведётся мониторинг (совместно с правоохранительными органами) деятельности существующих религиозных организаций и религиозных групп с целью выявления и предотвращения пропаганды экстремизма и разжигания межнациональной и межконфессиональной розни, обеспечению безопасности при проведении мероприятий и служб.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поступлении уведомлений о проведении публичных мероприятий представителями религиозных организаций или групп граждан (шествии, собрания), информация передаётся сразу же в: Межрайонный отдел с дислокацией в г. Новокузнецке «Центр по противодействию экстремизму», Управление МВД России по г. Новокузнецку, Отдел в г. Новокузнецке УФСБ РФ по Кемеровской области для выявления возможных экстремистских проявлений.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Осуществляется присутствие  при проведении публичных мероприятий, в качестве уполномоченных представителях Администрации города, а также участие, по возможности, по приглашению на прочих мероприятиях, проводимых  религиозными организациями.</w:t>
      </w:r>
    </w:p>
    <w:p w:rsidR="00A7498C" w:rsidRDefault="00A7498C">
      <w:pPr>
        <w:ind w:left="0"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Ежеквартально до 20 числа текущего квартала подготавливался для Комитета по взаимодействию с религиозными организациями Администрации Кемеровской области отчёт о деятельности религиозных организаций и религиозных групп на территории города.</w:t>
      </w:r>
    </w:p>
    <w:p w:rsidR="00A7498C" w:rsidRDefault="00A7498C">
      <w:pPr>
        <w:pStyle w:val="BodyText"/>
      </w:pPr>
      <w:r>
        <w:t>В сфере взаимодействия с национально-культурными общественными организациями: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профилактики экстремизма и терроризма специалистами отдела ведётся мониторинг (совместно с правоохранительными органами) деятельности существующих национально-культурных организаций с целью выявления и предотвращения пропаганды экстремизма и разжигания межнациональной и межконфессиональной розни, обеспечению безопасности при проведении мероприятий и служб. </w:t>
      </w:r>
    </w:p>
    <w:p w:rsidR="00A7498C" w:rsidRDefault="00A7498C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года было составлено 6 соглашений на предоставление субсидии из бюджета Новокузнецкого городского округа социально ориентированным некоммерческим организациям  в целях: пошива национальных костюмов, оплата транспортных расходов для участия в областных национально-культурных мероприятиях, организация национальных праздников и т.д.</w:t>
      </w:r>
    </w:p>
    <w:p w:rsidR="00A7498C" w:rsidRDefault="00A7498C">
      <w:p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Осуществлена помощь в организации и проведении совместно с Департаментом культуры и национальной политики Администрации Кемеровской области выездного расширенного заседания Координационного совета общественных национальных объединений Кемеровской области. На заседании присутствовало около 40 руководителей  национальных организаций, осуществляющих свою деятельность в городе Новокузнецке и Кемеровской области.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Формирование и отправка делегаций из числа коренных малочисленных народов от города Новокузнецка, для участия в мероприятиях проводимы Департаментом культуры и национальной политики Администрации Кемеровской области: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</w:rPr>
        <w:t xml:space="preserve"> Спартакиада коренных малочисленных народов Кемеровской области, фестиваль детского творчества коренных малочисленных народов Кемеровской области «Элим», ежегодный областной шорский праздник «Аяс-Пайрам», XIV детская летняя Спартакиада по национальным видам состязаний коренных малочисленных народов Кемеровской области,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Оказано содействие Новокузнецкой городской общественной организации «Шория» в проведении шорского народного праздника «Новый год», проведении детского праздника «Пайрам — Пичик» (праздник детского букваря) для шорских детей, проведение мероприятия День шорской культуры, посвященное 70-летию Кемеровской области. 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Оказывается помощь в формировании списков детей из числа разных национальностей, проживающих в городе Новокузнецке, для  обучения в летнем областном лингвистическом лагере для детей мигрантов «Белый журавль». </w:t>
      </w:r>
    </w:p>
    <w:p w:rsidR="00A7498C" w:rsidRDefault="00A7498C">
      <w:pPr>
        <w:pStyle w:val="NormalWeb"/>
        <w:spacing w:before="0" w:beforeAutospacing="0" w:after="0" w:afterAutospac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Подготовка и отправка группы детей изучающих шорский язык и культуру шорского народа для участия в ежегодной областной смене шорской языковой деревни «Каратаг» Таштагольского района. Обеспечена транспортная доставка и сопровождение детей в город Таштагол и обратно, с сопровождением сотрудником ГИБДД и медицинским работником.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Организована поездка делегаций от города Новокузнецка для участия в областных мероприятиях: фестиваль национальных культур «Мы живем семьей единой», областные мероприятия посвящённые  «Дням культуры российских немцев в Кузбассе», Губернаторская елка «Хоровод дружбы» для детей из числа национальных общественных объединений и творческих коллективов.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Подготовка и проведении ежегодного фестиваля творчества национальных культур. В фестивале принимают участие представители общественных объединений русской, шорской, немецкой, татарской, азербайджанской, таджикской культуры и т.д.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2013 году планируется организовать поездки  делегаций от города Новокузнецка на мероприятия организуемые Департаментом культуры и национальной политики Администрации Кемеровской области: областной командный турнир по борьбе «Куреш», </w:t>
      </w:r>
      <w:r>
        <w:rPr>
          <w:rFonts w:cs="Times New Roman"/>
          <w:sz w:val="28"/>
          <w:szCs w:val="28"/>
          <w:lang w:val="en-US"/>
        </w:rPr>
        <w:t>XI</w:t>
      </w:r>
      <w:r>
        <w:rPr>
          <w:rFonts w:cs="Times New Roman"/>
          <w:sz w:val="28"/>
          <w:szCs w:val="28"/>
        </w:rPr>
        <w:t xml:space="preserve"> областной фестиваль детского творчества коренных малочисленных народов Кемеровской области «Элим», ежегодный областной татарский праздник «Сабантуй», Областной национальный шорский праздник «Пайрам», областной национальный телеутский праздник, праздничное мероприятие - Губернаторская елка «Хоровод дружбы», зимний и летний этап  спартакиады среди коренных малочисленных народов Кемеровской области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поездки группы детей из числа коренных малочисленных народов на ежегодную областную смену шорской языковой деревни «Каратаг».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Участие в организации новогодних праздников: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«Елка для детей улицы», совместно с Новокузнецким городским отделением Российского детского фонда;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«Рождество для всех», совместно с Новокузнецким городским отделением общероссийской общественной организации «Российский Красный Крест, Кемеровской  региональной общественной организации «Ассоциация родителей «Особый ребёнок» и Некоммерческой организацией «Фонд развития Детско-юношеского центра "ОРИОН";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Дворовые ёлки, совместно с Советами территориального общественного самоуправления микрорайонов;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Рождественские и Новогодние мероприятия для детей воскресных школ религиозных некоммерческих организаций.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фестиваля творчества национальных культур, посвященного Дню народного единства, совместно с городскими национально-культурными общественными объединениями.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рамках взаимодействия с органами территориального общественного самоуправления (ТОС) города Новокузнецка: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года на регулярной основе проводится консультирование председателей Советов ТОС по вопросам взаимодействия с организациями и учреждениями города. Также проводится консультирование горожан по вопросам деятельности ТОС, урегулирование конфликтных ситуаций.</w:t>
      </w:r>
    </w:p>
    <w:p w:rsidR="00A7498C" w:rsidRDefault="00A7498C">
      <w:pPr>
        <w:ind w:left="0" w:firstLine="0"/>
        <w:jc w:val="both"/>
        <w:rPr>
          <w:rStyle w:val="FontStyle29"/>
          <w:sz w:val="28"/>
          <w:szCs w:val="28"/>
        </w:rPr>
      </w:pPr>
      <w:r>
        <w:rPr>
          <w:rFonts w:cs="Times New Roman"/>
          <w:sz w:val="28"/>
          <w:szCs w:val="28"/>
        </w:rPr>
        <w:t>В целях перспективного развития института ТОС в городе Новокузнецке проводятся обследования территорий застройки, на которых в перспективе возможно формирование самостоятельных единиц ТОС.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Организован сбор информации о предоставленных  помещениях для деятельности ТОС, о необходимых финансовых средствах для содержания и ремонта помещений, проведения мероприятий, по необходимой оргтехнике и предметам мебели и канцтоваров с целью  ходатайства перед Главой города о выделении  финансирования из бюджета города.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Организован сбор информации за год о деятельности ТОС  по каждому микрорайону города. В рамках данного мероприятия в период с сентября по ноябрь проведено более 20 встреч с председателями Советов ТОС города, активистами ТОС, старшими домов, подъездов, уличных комитетов. Произведен осмотр территорий на предмет выявления типичных проблем в коммунальной сфере, в области обеспечения правопорядка и безопасности граждан и иных жизненно-важных сферах.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Проводится анкетирование председателей Советов ТОС города, по итогам которого сформирована электронная база данных, содержащая актуальную информацию по обеспеченности территорий объектами обеспечения жизнедеятельности, транспортом, средствами связи, а также культурно-досуговыми объектами. 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Проведение обучающего мероприятия по вопросам обеспечения правопорядка и безопасности граждан на территориях. К участию в мероприятии были привлечены уполномоченные представители структур Управления МВД РФ по городу Новокузнецку. 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вовлечения молодежи в деятельность ТОС специалисты Отдела приняли участие в конференции «Опыт распространения процедур общественного участия в Сибирском федеральном округе», организованной Кемеровской региональной общественной организацией «ИнЭкА». 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Организован сбор информации за год о деятельности ТОС  по каждому микрорайону города. В рамках данного мероприятия в период с сентября по ноябрь проведено более 20 встреч с председателями Советов ТОС города, активистами ТОС, старшими домов, подъездов, уличных комитетов. Произведен осмотр территорий на предмет выявления типичных проблем в коммунальной сфере, в области обеспечения правопорядка и безопасности граждан и иных жизненно-важных сферах.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декабре председателям Советов ТОС было переданы новогодние подарки в количестве 120 штук для организации праздников на дворовых территориях. Новогодние гуляния в период с 27 декабря по 8 января были организованы во всех районах города.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2013 году планируется проведение семинаров с председателями Советов территориального общественного самоуправления.</w:t>
      </w:r>
    </w:p>
    <w:p w:rsidR="00A7498C" w:rsidRDefault="00A7498C">
      <w:pPr>
        <w:ind w:left="0" w:firstLine="0"/>
        <w:jc w:val="both"/>
        <w:rPr>
          <w:rStyle w:val="FontStyle29"/>
          <w:b/>
          <w:bCs/>
          <w:sz w:val="28"/>
          <w:szCs w:val="28"/>
        </w:rPr>
      </w:pPr>
      <w:r>
        <w:rPr>
          <w:rStyle w:val="FontStyle29"/>
          <w:b/>
          <w:bCs/>
          <w:sz w:val="28"/>
          <w:szCs w:val="28"/>
        </w:rPr>
        <w:t>Планы на 2013 год</w:t>
      </w:r>
    </w:p>
    <w:p w:rsidR="00A7498C" w:rsidRDefault="00A7498C">
      <w:pPr>
        <w:ind w:left="0" w:firstLine="0"/>
        <w:jc w:val="both"/>
        <w:rPr>
          <w:rStyle w:val="FontStyle29"/>
          <w:b/>
          <w:bCs/>
          <w:sz w:val="28"/>
          <w:szCs w:val="28"/>
        </w:rPr>
      </w:pPr>
      <w:r>
        <w:rPr>
          <w:rStyle w:val="FontStyle29"/>
          <w:b/>
          <w:bCs/>
          <w:sz w:val="28"/>
          <w:szCs w:val="28"/>
        </w:rPr>
        <w:t>Планируется организовать и провести следующие мероприятия:</w:t>
      </w:r>
    </w:p>
    <w:p w:rsidR="00A7498C" w:rsidRDefault="00A7498C">
      <w:pPr>
        <w:pStyle w:val="BodyText2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Заседания Совета старейшин при Главе города Новокузнецка по рассмотрению следующих вопросов: 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состоянии работы по реализации приоритетного национального проекта «Доступное и комфортноё жильё – гражданам России»;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 обеспечении жильём молодых семей  по Федеральной целевой программе «Жилище»;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 обеспечении жильём детей сирот и детей, оставшихся без попечения родителей;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 обеспечении жильём граждан из ветхого и аварийного жилья;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 организации учёта и контроля за качеством медицинских услуг, оказываемых частными  медицинскими организациями населению города;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подготовке к отопительному сезону 2013-2014 годов;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готовности к  работе предприятий городского хозяйства в зимний период;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 готовности муниципальных учреждений образования, здравоохранения, культуры и др. к работе в зимний период; 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рассмотрении реализации Комплексной программы мероприятий, направленной на подготовку к празднованию 400-летию города Новокузнецка в 2018 году;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ходе реформирования жилищно-коммунального хозяйства города;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состоянии и перспективах по благоустройству дворовых территорий города.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Управление вело большую организационную работу по  содействию избирательной комиссии в период избирательной кампании по выборам в Государственную думу  и выборам Президента России. </w:t>
      </w:r>
    </w:p>
    <w:p w:rsidR="00A7498C" w:rsidRDefault="00A7498C">
      <w:pPr>
        <w:autoSpaceDE w:val="0"/>
        <w:autoSpaceDN w:val="0"/>
        <w:adjustRightInd w:val="0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связи с проведением в 2013 году выборов в Совет народных депутатов Кемеровской области Управление будет осуществлять организацию и координацию работы органов по содействию избирательной кампании. </w:t>
      </w:r>
    </w:p>
    <w:p w:rsidR="00A7498C" w:rsidRDefault="00A7498C">
      <w:pPr>
        <w:pStyle w:val="BodyText"/>
        <w:autoSpaceDE w:val="0"/>
        <w:autoSpaceDN w:val="0"/>
        <w:adjustRightInd w:val="0"/>
      </w:pPr>
      <w:r>
        <w:t>Кадровая работа.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Одним из направлений кадровой работы в муниципальном образовании является организация работы с кадровым резервом и его эффективное использование. 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Администрации города Новокузнецка действует Положение о кадровом резерве для замещения вакантных должностей муниципальной службы администрации города Новокузнецка, утвержденное Постановлением Администрации города Новокузнецка от 05.02.2010г. № 13. 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Работа по формированию кадрового резерва проводится в целях: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1). своевременного замещения вакантных должностей муниципальной службы города Новокузнецка;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2). стимулирования повышения профессионализма  муниципальных служащих города Новокузнецка; 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3). сокращения периода профессиональной адаптации при назначении на вакантную должность муниципальной службы города Новокузнецка;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4). совершенствования деятельности по подбору и расстановке кадров;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5). привлечения высококвалифицированных  специалистов на муниципальную службу;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6). повышения качества муниципальной службы.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повышения эффективности работы с кадровым резервом необходимо регулярное осуществление профессиональной переподготовки, повышения квалификации лиц, включенных в кадровый резерв. Но на сегодняшний день обучение резервистов в необходимом объеме не может быть выполнено из-за недостатка финансирования обучения муниципальных служащих, состоящих в кадровом резерве, за счет бюджетных средств, а также в связи с тем, что расходы, связанные с осуществлением этих направлений гражданами, включенными в кадровый резерв, но не являющихся муниципальными служащими, осуществляются за счет собственных средств.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приобретения требуемых навыков и умений лицам, состоящих в кадровом резерве, на ряду с теоретической подготовкой, необходима и практическая, которая включает в себя исполнение обязанностей по должности муниципальной службы той группы должностей, на которую муниципальный служащий (гражданин) состоит в кадровом резерве, что является трудноосуществимой задачей при работе с резервистами, не являющимися муниципальными служащими.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совершенствования работы по оценке профессиональных и личностно-деловых качеств кандидатов, их соответствия квалификационным требованиям к резервируемой должности необходимо проведение конкурсного отбора кандидатов для включения в кадровый резерв. В администрации города Новокузнецка конкурс на включение в кадровый резерв не проводится.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Кроме того, доля лиц в возрасте до 35 лет в составе кадрового резерва на замещение вакантных должностей муниципальной службы на конец 2012 года составляет 20 % от общего числа резервистов. Поэтому задачами, стоящими перед администрацией города Новокузнецка на 2013 год в части работы с кадровым резервом, являются: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Организация тесного сотрудничества с ВУЗами по вопросу отбора кандидатов для включения в кадровый резерв.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Привлечение в кадровый резерв молодых людей, обучающихся на последнем курсе в высших учебных заведениях, либо окончивших высшие учебные заведения в возрасте до 30 лет и успешно проходящих практику в органах местного самоуправления.</w:t>
      </w:r>
    </w:p>
    <w:p w:rsidR="00A7498C" w:rsidRDefault="00A7498C">
      <w:p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Ассоциация Сибирских и Дальневосточных городов может оказать содействие в осуществлении организации обмена опытом между муниципальными образованиями по теме формирования кадрового резерва, критериев отбора кандидатов и работы с лицами, включенными в кадровый резерв. Поэтому считаем целесообразным проведение конференций, совещаний, семинаров по данному направлению.</w:t>
      </w:r>
    </w:p>
    <w:sectPr w:rsidR="00A7498C" w:rsidSect="00A7498C">
      <w:pgSz w:w="11906" w:h="16838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8C" w:rsidRDefault="00A749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7498C" w:rsidRDefault="00A749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8C" w:rsidRDefault="00A749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7498C" w:rsidRDefault="00A749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56E9"/>
    <w:multiLevelType w:val="hybridMultilevel"/>
    <w:tmpl w:val="FB847F60"/>
    <w:lvl w:ilvl="0" w:tplc="0419000F">
      <w:start w:val="1"/>
      <w:numFmt w:val="decimal"/>
      <w:lvlText w:val="%1."/>
      <w:lvlJc w:val="left"/>
      <w:pPr>
        <w:ind w:left="761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1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98C"/>
    <w:rsid w:val="00A7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470" w:hanging="357"/>
      <w:jc w:val="center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spacing w:before="120"/>
      <w:ind w:left="0" w:firstLine="720"/>
      <w:jc w:val="both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Times New Roman"/>
      <w:lang w:eastAsia="ru-RU"/>
    </w:rPr>
  </w:style>
  <w:style w:type="character" w:customStyle="1" w:styleId="FontStyle29">
    <w:name w:val="Font Style29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Normal"/>
    <w:uiPriority w:val="99"/>
    <w:pPr>
      <w:widowControl w:val="0"/>
      <w:autoSpaceDE w:val="0"/>
      <w:autoSpaceDN w:val="0"/>
      <w:adjustRightInd w:val="0"/>
      <w:spacing w:line="301" w:lineRule="exact"/>
      <w:ind w:left="0" w:firstLine="869"/>
      <w:jc w:val="both"/>
    </w:pPr>
    <w:rPr>
      <w:lang w:eastAsia="ru-RU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0" w:firstLine="0"/>
      <w:jc w:val="left"/>
    </w:pPr>
    <w:rPr>
      <w:lang w:eastAsia="ru-RU"/>
    </w:rPr>
  </w:style>
  <w:style w:type="character" w:customStyle="1" w:styleId="NormalWebChar">
    <w:name w:val="Normal (Web) Char"/>
    <w:basedOn w:val="DefaultParagraphFont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ind w:left="0" w:firstLine="0"/>
      <w:jc w:val="both"/>
    </w:pPr>
    <w:rPr>
      <w:rFonts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498C"/>
    <w:rPr>
      <w:rFonts w:ascii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ind w:left="0" w:firstLine="0"/>
      <w:jc w:val="both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498C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10</Pages>
  <Words>3938</Words>
  <Characters>22452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mihaylets</cp:lastModifiedBy>
  <cp:revision>39</cp:revision>
  <cp:lastPrinted>2013-02-27T04:06:00Z</cp:lastPrinted>
  <dcterms:created xsi:type="dcterms:W3CDTF">2013-02-22T04:43:00Z</dcterms:created>
  <dcterms:modified xsi:type="dcterms:W3CDTF">2013-05-17T06:52:00Z</dcterms:modified>
</cp:coreProperties>
</file>