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D7" w:rsidRPr="00930990" w:rsidRDefault="00930990" w:rsidP="0093099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30990">
        <w:rPr>
          <w:b/>
          <w:color w:val="000000"/>
          <w:sz w:val="28"/>
          <w:szCs w:val="28"/>
        </w:rPr>
        <w:t>КОГАЛЫМ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Одним из основных направлений деятельности муниципального казенного учреждения «Управление жилищно</w:t>
      </w:r>
      <w:r w:rsidR="00F25AD7" w:rsidRPr="00930990">
        <w:rPr>
          <w:color w:val="000000"/>
          <w:spacing w:val="-1"/>
          <w:sz w:val="28"/>
          <w:szCs w:val="28"/>
        </w:rPr>
        <w:t>-</w:t>
      </w:r>
      <w:r w:rsidRPr="00930990">
        <w:rPr>
          <w:color w:val="000000"/>
          <w:spacing w:val="-1"/>
          <w:sz w:val="28"/>
          <w:szCs w:val="28"/>
        </w:rPr>
        <w:t xml:space="preserve">коммунального хозяйства города </w:t>
      </w:r>
      <w:proofErr w:type="spellStart"/>
      <w:r w:rsidRPr="00930990">
        <w:rPr>
          <w:color w:val="000000"/>
          <w:spacing w:val="-1"/>
          <w:sz w:val="28"/>
          <w:szCs w:val="28"/>
        </w:rPr>
        <w:t>Когалыма</w:t>
      </w:r>
      <w:proofErr w:type="spellEnd"/>
      <w:r w:rsidRPr="00930990">
        <w:rPr>
          <w:color w:val="000000"/>
          <w:spacing w:val="-1"/>
          <w:sz w:val="28"/>
          <w:szCs w:val="28"/>
        </w:rPr>
        <w:t>» является создание комфортных и безопасных условий жизнедеятельности населения на территории города.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1.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 xml:space="preserve">Реконструкция тепловых сетей на трубы в </w:t>
      </w:r>
      <w:proofErr w:type="spellStart"/>
      <w:r w:rsidRPr="00930990">
        <w:rPr>
          <w:color w:val="000000"/>
          <w:spacing w:val="-1"/>
          <w:sz w:val="28"/>
          <w:szCs w:val="28"/>
        </w:rPr>
        <w:t>ППУ-изоляции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с установкой автоматизированных тепловых пунктов в жилых домах (АИТП).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В </w:t>
      </w:r>
      <w:proofErr w:type="spellStart"/>
      <w:r w:rsidRPr="00930990">
        <w:rPr>
          <w:color w:val="000000"/>
          <w:spacing w:val="-1"/>
          <w:sz w:val="28"/>
          <w:szCs w:val="28"/>
        </w:rPr>
        <w:t>Когалыме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с 1997 года ведется работа по реконструкции тепловых сетей с заменой трубопроводов в </w:t>
      </w:r>
      <w:proofErr w:type="spellStart"/>
      <w:r w:rsidRPr="00930990">
        <w:rPr>
          <w:color w:val="000000"/>
          <w:spacing w:val="-1"/>
          <w:sz w:val="28"/>
          <w:szCs w:val="28"/>
        </w:rPr>
        <w:t>минераловатной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изоляции на новые стальные трубы в тепловой изоляции из </w:t>
      </w:r>
      <w:proofErr w:type="spellStart"/>
      <w:r w:rsidRPr="00930990">
        <w:rPr>
          <w:color w:val="000000"/>
          <w:spacing w:val="-1"/>
          <w:sz w:val="28"/>
          <w:szCs w:val="28"/>
        </w:rPr>
        <w:t>пенополиуретана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в полиэтиленовой оболочке полной заводской готовности с системой </w:t>
      </w:r>
      <w:proofErr w:type="spellStart"/>
      <w:r w:rsidRPr="00930990">
        <w:rPr>
          <w:color w:val="000000"/>
          <w:spacing w:val="-1"/>
          <w:sz w:val="28"/>
          <w:szCs w:val="28"/>
        </w:rPr>
        <w:t>опера-тивного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дистанционного контроля (ОДК), замена существующей арматуры на </w:t>
      </w:r>
      <w:proofErr w:type="gramStart"/>
      <w:r w:rsidRPr="00930990">
        <w:rPr>
          <w:color w:val="000000"/>
          <w:spacing w:val="-1"/>
          <w:sz w:val="28"/>
          <w:szCs w:val="28"/>
        </w:rPr>
        <w:t>шаровую</w:t>
      </w:r>
      <w:proofErr w:type="gramEnd"/>
      <w:r w:rsidRPr="00930990">
        <w:rPr>
          <w:color w:val="000000"/>
          <w:spacing w:val="-1"/>
          <w:sz w:val="28"/>
          <w:szCs w:val="28"/>
        </w:rPr>
        <w:t>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В настоящее время данная работа проводится в рамках реализации Инвестиционной прогр</w:t>
      </w:r>
      <w:r w:rsidR="00930990">
        <w:rPr>
          <w:color w:val="000000"/>
          <w:spacing w:val="-1"/>
          <w:sz w:val="28"/>
          <w:szCs w:val="28"/>
        </w:rPr>
        <w:t>амм</w:t>
      </w:r>
      <w:proofErr w:type="gramStart"/>
      <w:r w:rsidR="00930990">
        <w:rPr>
          <w:color w:val="000000"/>
          <w:spacing w:val="-1"/>
          <w:sz w:val="28"/>
          <w:szCs w:val="28"/>
        </w:rPr>
        <w:t>ы ООО</w:t>
      </w:r>
      <w:proofErr w:type="gramEnd"/>
      <w:r w:rsidR="00930990">
        <w:rPr>
          <w:color w:val="000000"/>
          <w:spacing w:val="-1"/>
          <w:sz w:val="28"/>
          <w:szCs w:val="28"/>
        </w:rPr>
        <w:t xml:space="preserve"> «Городские Теплосети».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Применение труб в </w:t>
      </w:r>
      <w:proofErr w:type="spellStart"/>
      <w:r w:rsidRPr="00930990">
        <w:rPr>
          <w:color w:val="000000"/>
          <w:spacing w:val="-1"/>
          <w:sz w:val="28"/>
          <w:szCs w:val="28"/>
        </w:rPr>
        <w:t>ППУ-изоляции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уменьшает тепловые потери через наружную поверхность трубопроводов в 2-3 раза по сравнению с </w:t>
      </w:r>
      <w:proofErr w:type="spellStart"/>
      <w:r w:rsidRPr="00930990">
        <w:rPr>
          <w:color w:val="000000"/>
          <w:spacing w:val="-1"/>
          <w:sz w:val="28"/>
          <w:szCs w:val="28"/>
        </w:rPr>
        <w:t>минераловатной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изоляцией. Так же данные трубы предусматривают систему ОДК (оперативный дистанционный контроль), который позволяет определить место утечки теплоносителя. Срок службы таких трубопроводов 25 лет. Вышеперечисленные качества новых труб для замены тепловых сетей и сетей холодного водоснабжения повысят надежность теплоснабжения и водоснабжения жилых домов, школ и детских дошкольных учреждений.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В настоящее время всего проложено трубопроводов тепло- и водоснабжения около 60 км труб в ППУ изоляции.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2.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>Установка автоматизированных тепловых пунктов АИТП.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С 2000 года выполняется переход от централизованного горячего водоснабжения к </w:t>
      </w:r>
      <w:proofErr w:type="gramStart"/>
      <w:r w:rsidRPr="00930990">
        <w:rPr>
          <w:color w:val="000000"/>
          <w:spacing w:val="-1"/>
          <w:sz w:val="28"/>
          <w:szCs w:val="28"/>
        </w:rPr>
        <w:t>индивидуальному</w:t>
      </w:r>
      <w:proofErr w:type="gramEnd"/>
      <w:r w:rsidRPr="00930990">
        <w:rPr>
          <w:color w:val="000000"/>
          <w:spacing w:val="-1"/>
          <w:sz w:val="28"/>
          <w:szCs w:val="28"/>
        </w:rPr>
        <w:t xml:space="preserve"> с установкой автоматизированных индивидуальных тепловых пунктов (АИТП), что позволяет производить регулирование параметров теплоносителя у потребителей, обеспечивает комфортные условия проживания при экономии тепла, воды, электроэнергии на перекачку избыточного теплоносителя, а также снижении затрат на прокладку трубопроводов с</w:t>
      </w:r>
      <w:r w:rsidR="00930990">
        <w:rPr>
          <w:color w:val="000000"/>
          <w:spacing w:val="-1"/>
          <w:sz w:val="28"/>
          <w:szCs w:val="28"/>
        </w:rPr>
        <w:t>истем горячего водоснабжения.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Автоматизированный индивидуальный тепловой пункт АИТП предназначен для приготовления и подачи в систему отопления теплоносителя с параметрами, которые автоматически регулируются в соответствии с температурой наружного воздуха, а также для приготовления и подачи теплоносителя с параметрами в пределах санитарных норм в систему ГВС.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Внедрение компактных АИТП для теплоснабжения жилых, общественных и производственных зданий позволяет значительно снизить затраты при строительстве и эксплуатации объектов. С применением АИТП отпадает необходимость строительства центральных групповых тепловых пунктов (ЦТП) и 5-ти трубной подводки к зданию.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В 2014 году установлены АИТП в 264 ж/</w:t>
      </w:r>
      <w:proofErr w:type="spellStart"/>
      <w:r w:rsidRPr="00930990">
        <w:rPr>
          <w:color w:val="000000"/>
          <w:spacing w:val="-1"/>
          <w:sz w:val="28"/>
          <w:szCs w:val="28"/>
        </w:rPr>
        <w:t>д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и на всех </w:t>
      </w:r>
      <w:proofErr w:type="spellStart"/>
      <w:r w:rsidRPr="00930990">
        <w:rPr>
          <w:color w:val="000000"/>
          <w:spacing w:val="-1"/>
          <w:sz w:val="28"/>
          <w:szCs w:val="28"/>
        </w:rPr>
        <w:t>социальнозначимых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объектах города (образования, здравоохранения, культуры, спорта и пр.).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3.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 xml:space="preserve">Ввод в эксплуатацию центрального диспетчерского пункта с выводом на него показаний узлов учета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О преимуществах установки счетчиков тепла говорится довольно много, установка </w:t>
      </w:r>
      <w:r w:rsidRPr="00930990">
        <w:rPr>
          <w:color w:val="000000"/>
          <w:spacing w:val="-1"/>
          <w:sz w:val="28"/>
          <w:szCs w:val="28"/>
        </w:rPr>
        <w:lastRenderedPageBreak/>
        <w:t>узла учета тепла является выгодным и окупаемым делом. Каждый узел учета тепла должен получать качественное обслуживание и эксплуатироваться согласно правилам учета тепловой энергии и теплоносителей (приказ от 12.09.1995г №ВК-4936), тогда он будет работать длительное время, и предоставлять точные показания.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Именно для удобства и комфорта потребителей необходима диспетчеризация узлов учета, которая представляет собой возможность удаленно производить сбор показаний с приборов учета для организации эффективного анализа функционирования определенного узла учета тепла, и на основе полученных данных составлять отчетные ведомости. Возможность дистанционно получать данные значительно облегчает осуществление </w:t>
      </w:r>
      <w:proofErr w:type="gramStart"/>
      <w:r w:rsidRPr="00930990">
        <w:rPr>
          <w:color w:val="000000"/>
          <w:spacing w:val="-1"/>
          <w:sz w:val="28"/>
          <w:szCs w:val="28"/>
        </w:rPr>
        <w:t>контроля за</w:t>
      </w:r>
      <w:proofErr w:type="gramEnd"/>
      <w:r w:rsidRPr="00930990">
        <w:rPr>
          <w:color w:val="000000"/>
          <w:spacing w:val="-1"/>
          <w:sz w:val="28"/>
          <w:szCs w:val="28"/>
        </w:rPr>
        <w:t xml:space="preserve"> работой приборов и изменением основных параметров теплоносителя.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Диспетчеризация узлов учета использует для отслеживания правильности работы узлов учета тепла, современные технологии (интернет и др.), позволяющие при наличии доступа к ним получать данные, не выходя из дома, офиса, при помощи компьютера. Специально разработанное программное обеспечение позволяет наладить эффективную работу и способствует созданию тесных отношений между потребителями тепловой энергии и организацией, обеспечивающей ее доставку и контролирующей потребление.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4.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 xml:space="preserve">Ввод в действие цеха по сборке АИТП из </w:t>
      </w:r>
      <w:proofErr w:type="gramStart"/>
      <w:r w:rsidRPr="00930990">
        <w:rPr>
          <w:color w:val="000000"/>
          <w:spacing w:val="-1"/>
          <w:sz w:val="28"/>
          <w:szCs w:val="28"/>
        </w:rPr>
        <w:t>комплектующих</w:t>
      </w:r>
      <w:proofErr w:type="gramEnd"/>
      <w:r w:rsidRPr="00930990">
        <w:rPr>
          <w:color w:val="000000"/>
          <w:spacing w:val="-1"/>
          <w:sz w:val="28"/>
          <w:szCs w:val="28"/>
        </w:rPr>
        <w:t>, работа которого позволит выполнять сборку от 30 до 40 АИТП в год с последующим укрупнением производства.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Цех создан в целях реализации задачи, поставленной инвестиционной программой ООО «Городские Теплосети».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5.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 xml:space="preserve">Разработка и утверждение схемы теплоснабжения города </w:t>
      </w:r>
      <w:proofErr w:type="spellStart"/>
      <w:r w:rsidRPr="00930990">
        <w:rPr>
          <w:color w:val="000000"/>
          <w:spacing w:val="-1"/>
          <w:sz w:val="28"/>
          <w:szCs w:val="28"/>
        </w:rPr>
        <w:t>Когалыма</w:t>
      </w:r>
      <w:proofErr w:type="spellEnd"/>
      <w:r w:rsidRPr="00930990">
        <w:rPr>
          <w:color w:val="000000"/>
          <w:spacing w:val="-1"/>
          <w:sz w:val="28"/>
          <w:szCs w:val="28"/>
        </w:rPr>
        <w:t>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Схема теплоснабжения разработана для решения следующих задач: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обеспечение безопасности и надежности теплоснабжения потребителей в соответствии с требованиями технических регламентов;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соблюдение баланса экономических интересов теплоснабжающих организаций и интересов потребителей;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 xml:space="preserve">минимизация затрат </w:t>
      </w:r>
      <w:proofErr w:type="gramStart"/>
      <w:r w:rsidRPr="00930990">
        <w:rPr>
          <w:color w:val="000000"/>
          <w:spacing w:val="-1"/>
          <w:sz w:val="28"/>
          <w:szCs w:val="28"/>
        </w:rPr>
        <w:t>на теплоснабжение в расчете на единицу тепловой энергии для потребителя в долгосрочной перспективе</w:t>
      </w:r>
      <w:proofErr w:type="gramEnd"/>
      <w:r w:rsidRPr="00930990">
        <w:rPr>
          <w:color w:val="000000"/>
          <w:spacing w:val="-1"/>
          <w:sz w:val="28"/>
          <w:szCs w:val="28"/>
        </w:rPr>
        <w:t>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 xml:space="preserve">обеспечение </w:t>
      </w:r>
      <w:proofErr w:type="spellStart"/>
      <w:r w:rsidRPr="00930990">
        <w:rPr>
          <w:color w:val="000000"/>
          <w:spacing w:val="-1"/>
          <w:sz w:val="28"/>
          <w:szCs w:val="28"/>
        </w:rPr>
        <w:t>недискриминационных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и стабильных условий осуществления предпринимательской деятельности в сфере теплоснабжения.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В схеме теплоснабжения разработаны решения по развитию теплоснабжения города </w:t>
      </w:r>
      <w:proofErr w:type="spellStart"/>
      <w:r w:rsidRPr="00930990">
        <w:rPr>
          <w:color w:val="000000"/>
          <w:spacing w:val="-1"/>
          <w:sz w:val="28"/>
          <w:szCs w:val="28"/>
        </w:rPr>
        <w:t>Когалыма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, которые позволят на 15 лет обеспечить планомерное развитие экономики, инженерной инфраструктуры и системы теплоснабжения города </w:t>
      </w:r>
      <w:proofErr w:type="spellStart"/>
      <w:r w:rsidRPr="00930990">
        <w:rPr>
          <w:color w:val="000000"/>
          <w:spacing w:val="-1"/>
          <w:sz w:val="28"/>
          <w:szCs w:val="28"/>
        </w:rPr>
        <w:t>Когалыма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. Схема теплоснабжения является документом, обосновывающим инвестиции в строительство, реконструкцию и техническое перевооружение системы теплоснабжения, </w:t>
      </w:r>
      <w:proofErr w:type="gramStart"/>
      <w:r w:rsidRPr="00930990">
        <w:rPr>
          <w:color w:val="000000"/>
          <w:spacing w:val="-1"/>
          <w:sz w:val="28"/>
          <w:szCs w:val="28"/>
        </w:rPr>
        <w:t>который</w:t>
      </w:r>
      <w:proofErr w:type="gramEnd"/>
      <w:r w:rsidRPr="00930990">
        <w:rPr>
          <w:color w:val="000000"/>
          <w:spacing w:val="-1"/>
          <w:sz w:val="28"/>
          <w:szCs w:val="28"/>
        </w:rPr>
        <w:t xml:space="preserve"> позволит минимизировать тарифы на теплоснабжение для каждого потребителя в долгосрочной перспективе.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6.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 xml:space="preserve">Разработка и утверждение схемы водоснабжения и водоотведения города </w:t>
      </w:r>
      <w:proofErr w:type="spellStart"/>
      <w:r w:rsidRPr="00930990">
        <w:rPr>
          <w:color w:val="000000"/>
          <w:spacing w:val="-1"/>
          <w:sz w:val="28"/>
          <w:szCs w:val="28"/>
        </w:rPr>
        <w:t>Когалыма</w:t>
      </w:r>
      <w:proofErr w:type="spellEnd"/>
      <w:r w:rsidRPr="00930990">
        <w:rPr>
          <w:color w:val="000000"/>
          <w:spacing w:val="-1"/>
          <w:sz w:val="28"/>
          <w:szCs w:val="28"/>
        </w:rPr>
        <w:t>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lastRenderedPageBreak/>
        <w:t xml:space="preserve">Схема водоснабжения и водоотведения </w:t>
      </w:r>
      <w:proofErr w:type="gramStart"/>
      <w:r w:rsidRPr="00930990">
        <w:rPr>
          <w:color w:val="000000"/>
          <w:spacing w:val="-1"/>
          <w:sz w:val="28"/>
          <w:szCs w:val="28"/>
        </w:rPr>
        <w:t>г</w:t>
      </w:r>
      <w:proofErr w:type="gramEnd"/>
      <w:r w:rsidRPr="00930990">
        <w:rPr>
          <w:color w:val="000000"/>
          <w:spacing w:val="-1"/>
          <w:sz w:val="28"/>
          <w:szCs w:val="28"/>
        </w:rPr>
        <w:t xml:space="preserve">. </w:t>
      </w:r>
      <w:proofErr w:type="spellStart"/>
      <w:r w:rsidRPr="00930990">
        <w:rPr>
          <w:color w:val="000000"/>
          <w:spacing w:val="-1"/>
          <w:sz w:val="28"/>
          <w:szCs w:val="28"/>
        </w:rPr>
        <w:t>Когалыма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разработана на перспективу до 2023 г. и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Схема водоснабжения и водоотведения содержит: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основные направления, принципы, задачи и целевые показатели развития централизованных систем водоснабжения и водоотведения;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прогнозные балансы потребления горячей, питьевой, технической воды, количества и состава сточных вод сроком на 10 лет с учетом различных сценариев развития города;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 и водоотведения;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карты (схемы) планируемого размещения объектов централизованных систем горячего водоснабжения, холодного водоснабжения и (или) водоотведения;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границы планируемых зон размещения объектов централизованных систем горячего водоснабжения, холодного водоснабжения и (или) водоотведения;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перечень основных мероприятий по реализации схем водоснабжения и водоотведения в разбивке по годам, включая технические обоснования этих мероприятий и оценку стоимости их реализации.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Ожидаемые результаты от реализации мероприятий схемы: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повышение качества предоставления коммунальных услуг;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реконструкция и замена устаревшего оборудования и сетей;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увеличение мощности систем водоснабжения и водоотведения;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 xml:space="preserve">улучшение экологической ситуации на территории города </w:t>
      </w:r>
      <w:proofErr w:type="spellStart"/>
      <w:r w:rsidRPr="00930990">
        <w:rPr>
          <w:color w:val="000000"/>
          <w:spacing w:val="-1"/>
          <w:sz w:val="28"/>
          <w:szCs w:val="28"/>
        </w:rPr>
        <w:t>Когалыма</w:t>
      </w:r>
      <w:proofErr w:type="spellEnd"/>
      <w:r w:rsidRPr="00930990">
        <w:rPr>
          <w:color w:val="000000"/>
          <w:spacing w:val="-1"/>
          <w:sz w:val="28"/>
          <w:szCs w:val="28"/>
        </w:rPr>
        <w:t>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 xml:space="preserve">создание коммунальной инфраструктуры для комфортного проживания населения, а также дальнейшего развития города </w:t>
      </w:r>
      <w:proofErr w:type="spellStart"/>
      <w:r w:rsidRPr="00930990">
        <w:rPr>
          <w:color w:val="000000"/>
          <w:spacing w:val="-1"/>
          <w:sz w:val="28"/>
          <w:szCs w:val="28"/>
        </w:rPr>
        <w:t>Когалыма</w:t>
      </w:r>
      <w:proofErr w:type="spellEnd"/>
      <w:r w:rsidRPr="00930990">
        <w:rPr>
          <w:color w:val="000000"/>
          <w:spacing w:val="-1"/>
          <w:sz w:val="28"/>
          <w:szCs w:val="28"/>
        </w:rPr>
        <w:t>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7.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>Реконструкция Водоочистных сооружений города.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С 2007 года на объектах предприятия проводится реконструкция системы обеззараживания питьевой воды и сточных вод с внедрением в производство установок ультрафиолетового обеззараживания воды (УФО). </w:t>
      </w:r>
      <w:proofErr w:type="spellStart"/>
      <w:proofErr w:type="gramStart"/>
      <w:r w:rsidRPr="00930990">
        <w:rPr>
          <w:color w:val="000000"/>
          <w:spacing w:val="-1"/>
          <w:sz w:val="28"/>
          <w:szCs w:val="28"/>
        </w:rPr>
        <w:t>УФ-установки</w:t>
      </w:r>
      <w:proofErr w:type="spellEnd"/>
      <w:proofErr w:type="gramEnd"/>
      <w:r w:rsidRPr="00930990">
        <w:rPr>
          <w:color w:val="000000"/>
          <w:spacing w:val="-1"/>
          <w:sz w:val="28"/>
          <w:szCs w:val="28"/>
        </w:rPr>
        <w:t xml:space="preserve"> обеспечивают экологическую безопасность - в воде не образуются вещества, вредные для здоровья человека, сохраняется химический состав и вкусовые качества питьевой воды; значительно сокращаются затраты на содержание </w:t>
      </w:r>
      <w:proofErr w:type="spellStart"/>
      <w:r w:rsidRPr="00930990">
        <w:rPr>
          <w:color w:val="000000"/>
          <w:spacing w:val="-1"/>
          <w:sz w:val="28"/>
          <w:szCs w:val="28"/>
        </w:rPr>
        <w:t>хлора-торных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помещений, на приобретение, транспортировку, хранение хлора; с территории предприятия ликвидируются опасные для персонала и окружающей природной среды объекты.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Под инвестиционную программ</w:t>
      </w:r>
      <w:proofErr w:type="gramStart"/>
      <w:r w:rsidRPr="00930990">
        <w:rPr>
          <w:color w:val="000000"/>
          <w:spacing w:val="-1"/>
          <w:sz w:val="28"/>
          <w:szCs w:val="28"/>
        </w:rPr>
        <w:t>у ООО</w:t>
      </w:r>
      <w:proofErr w:type="gramEnd"/>
      <w:r w:rsidRPr="00930990">
        <w:rPr>
          <w:color w:val="000000"/>
          <w:spacing w:val="-1"/>
          <w:sz w:val="28"/>
          <w:szCs w:val="28"/>
        </w:rPr>
        <w:t xml:space="preserve"> «</w:t>
      </w:r>
      <w:proofErr w:type="spellStart"/>
      <w:r w:rsidRPr="00930990">
        <w:rPr>
          <w:color w:val="000000"/>
          <w:spacing w:val="-1"/>
          <w:sz w:val="28"/>
          <w:szCs w:val="28"/>
        </w:rPr>
        <w:t>Горводоканал</w:t>
      </w:r>
      <w:proofErr w:type="spellEnd"/>
      <w:r w:rsidRPr="00930990">
        <w:rPr>
          <w:color w:val="000000"/>
          <w:spacing w:val="-1"/>
          <w:sz w:val="28"/>
          <w:szCs w:val="28"/>
        </w:rPr>
        <w:t>» был выполнен проект и смонтированы 4 УФО установки марки WEDECO и электролизные установки OSEC на ВОС и КОС-19000.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На основе новой технологии очистки, было подобрано и внедрено прогрессивное технологическое оборудование, позволяющее обеспечить рациональное использование водных ресурсов и снизить потребление электроэнергии.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8.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 xml:space="preserve">Расширение канализационных очистных сооружений до производительности 30 </w:t>
      </w:r>
      <w:r w:rsidRPr="00930990">
        <w:rPr>
          <w:color w:val="000000"/>
          <w:spacing w:val="-1"/>
          <w:sz w:val="28"/>
          <w:szCs w:val="28"/>
        </w:rPr>
        <w:lastRenderedPageBreak/>
        <w:t>тыс</w:t>
      </w:r>
      <w:proofErr w:type="gramStart"/>
      <w:r w:rsidRPr="00930990">
        <w:rPr>
          <w:color w:val="000000"/>
          <w:spacing w:val="-1"/>
          <w:sz w:val="28"/>
          <w:szCs w:val="28"/>
        </w:rPr>
        <w:t>.м</w:t>
      </w:r>
      <w:proofErr w:type="gramEnd"/>
      <w:r w:rsidRPr="00930990">
        <w:rPr>
          <w:color w:val="000000"/>
          <w:spacing w:val="-1"/>
          <w:sz w:val="28"/>
          <w:szCs w:val="28"/>
        </w:rPr>
        <w:t>3/</w:t>
      </w:r>
      <w:proofErr w:type="spellStart"/>
      <w:r w:rsidRPr="00930990">
        <w:rPr>
          <w:color w:val="000000"/>
          <w:spacing w:val="-1"/>
          <w:sz w:val="28"/>
          <w:szCs w:val="28"/>
        </w:rPr>
        <w:t>сут</w:t>
      </w:r>
      <w:proofErr w:type="spellEnd"/>
      <w:r w:rsidRPr="00930990">
        <w:rPr>
          <w:color w:val="000000"/>
          <w:spacing w:val="-1"/>
          <w:sz w:val="28"/>
          <w:szCs w:val="28"/>
        </w:rPr>
        <w:t>. Первая очередь – строительство здания решеток и песколовок.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Расширение канализационных очистных сооружений города (КОС-19000) – обеспечивает снижение расхода электроэнергии за счет внедрения энергосберегающих технологий и оборудования: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 xml:space="preserve">установка низковольтного оборудования с частотно-регулируемыми приводами – насосы, воздуходувки;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 xml:space="preserve">применение энергосберегающих ламп (светодиодных);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применение устройств управления освещением (датчики движения и акустические датчики);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 xml:space="preserve">использование оборотного водоснабжения (промывка технологического оборудования очищенными сточными водами). 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9.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>Энергетическое хозяйство.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9.1.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 xml:space="preserve">Замена светильников с лампами ДРЛ электромагнитных пускорегулирующих аппаратов </w:t>
      </w:r>
      <w:proofErr w:type="spellStart"/>
      <w:r w:rsidRPr="00930990">
        <w:rPr>
          <w:color w:val="000000"/>
          <w:spacing w:val="-1"/>
          <w:sz w:val="28"/>
          <w:szCs w:val="28"/>
        </w:rPr>
        <w:t>ЭмПРА</w:t>
      </w:r>
      <w:proofErr w:type="spellEnd"/>
      <w:r w:rsidRPr="00930990">
        <w:rPr>
          <w:color w:val="000000"/>
          <w:spacing w:val="-1"/>
          <w:sz w:val="28"/>
          <w:szCs w:val="28"/>
        </w:rPr>
        <w:t xml:space="preserve"> на электронные пускорегулирующие аппараты типа ЭПРАН-250 и светильники с лампами </w:t>
      </w:r>
      <w:proofErr w:type="spellStart"/>
      <w:r w:rsidRPr="00930990">
        <w:rPr>
          <w:color w:val="000000"/>
          <w:spacing w:val="-1"/>
          <w:sz w:val="28"/>
          <w:szCs w:val="28"/>
        </w:rPr>
        <w:t>ДНаТ</w:t>
      </w:r>
      <w:proofErr w:type="spellEnd"/>
      <w:r w:rsidRPr="00930990">
        <w:rPr>
          <w:color w:val="000000"/>
          <w:spacing w:val="-1"/>
          <w:sz w:val="28"/>
          <w:szCs w:val="28"/>
        </w:rPr>
        <w:t>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9.2.</w:t>
      </w:r>
      <w:r w:rsidRPr="00930990">
        <w:rPr>
          <w:sz w:val="28"/>
          <w:szCs w:val="28"/>
        </w:rPr>
        <w:t> </w:t>
      </w:r>
      <w:r w:rsidRPr="00930990">
        <w:rPr>
          <w:color w:val="000000"/>
          <w:spacing w:val="-1"/>
          <w:sz w:val="28"/>
          <w:szCs w:val="28"/>
        </w:rPr>
        <w:t>Замена электромагнитных пускорегулирующих аппаратов для ламп ОУ на электронные пускорегулирующие аппараты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Электронный пускорегулирующий аппарат ЭПРАН предназначен для зажигания и электропитания натриевых ламп высокого давления.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 xml:space="preserve">Основные преимущества приборов ЭПРАН перед </w:t>
      </w:r>
      <w:proofErr w:type="spellStart"/>
      <w:r w:rsidRPr="00930990">
        <w:rPr>
          <w:color w:val="000000"/>
          <w:spacing w:val="-1"/>
          <w:sz w:val="28"/>
          <w:szCs w:val="28"/>
        </w:rPr>
        <w:t>ЭмПРА</w:t>
      </w:r>
      <w:proofErr w:type="spellEnd"/>
      <w:r w:rsidRPr="00930990">
        <w:rPr>
          <w:color w:val="000000"/>
          <w:spacing w:val="-1"/>
          <w:sz w:val="28"/>
          <w:szCs w:val="28"/>
        </w:rPr>
        <w:t>: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большая (на 5-15%) удельная световая отдача (Лк/Вт) лампы;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потребляемая мощность снижается на 30% благодаря управлению мощностью лампы;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дистанционно - переключаемые режимы мощности лампы – номинальный и экономичный;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пусковой ток не более 3А;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уменьшение активных потерь в силовой линии на 5-10% за счет равномерного распределения мощности, потребляемой светильниками;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высокий коэффициент потребляемой мощности (около 0,95);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стабилизирует заданный уровень мощности лампы во всем диапазоне питающих напряжений – равномерный уровень освещенности в линии;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 xml:space="preserve">увеличение срока службы лампы и оптимальных нагрузочных характеристик выходного каскада при отсутствии пиков </w:t>
      </w:r>
      <w:proofErr w:type="spellStart"/>
      <w:r w:rsidRPr="00930990">
        <w:rPr>
          <w:color w:val="000000"/>
          <w:spacing w:val="-1"/>
          <w:sz w:val="28"/>
          <w:szCs w:val="28"/>
        </w:rPr>
        <w:t>перезажигания</w:t>
      </w:r>
      <w:proofErr w:type="spellEnd"/>
      <w:r w:rsidRPr="00930990">
        <w:rPr>
          <w:color w:val="000000"/>
          <w:spacing w:val="-1"/>
          <w:sz w:val="28"/>
          <w:szCs w:val="28"/>
        </w:rPr>
        <w:t>, а также защиты от аномальных режимов.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Отличительные особенности: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адресное управление светильниками, для управления мощностью лампы не нужны дополнительные провода в линии. Команда на переключение передается по силовым проводам;</w:t>
      </w:r>
    </w:p>
    <w:p w:rsidR="00AF0AC3" w:rsidRPr="00930990" w:rsidRDefault="00AF0AC3" w:rsidP="00930990">
      <w:pPr>
        <w:widowControl w:val="0"/>
        <w:tabs>
          <w:tab w:val="left" w:pos="9355"/>
        </w:tabs>
        <w:jc w:val="both"/>
        <w:rPr>
          <w:color w:val="000000"/>
          <w:spacing w:val="-1"/>
          <w:sz w:val="28"/>
          <w:szCs w:val="28"/>
        </w:rPr>
      </w:pPr>
      <w:r w:rsidRPr="00930990">
        <w:rPr>
          <w:color w:val="000000"/>
          <w:spacing w:val="-1"/>
          <w:sz w:val="28"/>
          <w:szCs w:val="28"/>
        </w:rPr>
        <w:t>–</w:t>
      </w:r>
      <w:r w:rsidR="00F25AD7" w:rsidRPr="00930990">
        <w:rPr>
          <w:color w:val="000000"/>
          <w:spacing w:val="-1"/>
          <w:sz w:val="28"/>
          <w:szCs w:val="28"/>
        </w:rPr>
        <w:t xml:space="preserve"> </w:t>
      </w:r>
      <w:r w:rsidRPr="00930990">
        <w:rPr>
          <w:color w:val="000000"/>
          <w:spacing w:val="-1"/>
          <w:sz w:val="28"/>
          <w:szCs w:val="28"/>
        </w:rPr>
        <w:t>наличие системы диагностики состояния лампы. Передача информации о состоянии на исполнительный пункт по силовым проводам.</w:t>
      </w:r>
    </w:p>
    <w:sectPr w:rsidR="00AF0AC3" w:rsidRPr="00930990" w:rsidSect="00930990">
      <w:pgSz w:w="11906" w:h="16838"/>
      <w:pgMar w:top="851" w:right="851" w:bottom="851" w:left="851" w:header="708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ED" w:rsidRDefault="00B929ED" w:rsidP="00F25AD7">
      <w:r>
        <w:separator/>
      </w:r>
    </w:p>
  </w:endnote>
  <w:endnote w:type="continuationSeparator" w:id="0">
    <w:p w:rsidR="00B929ED" w:rsidRDefault="00B929ED" w:rsidP="00F2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ED" w:rsidRDefault="00B929ED" w:rsidP="00F25AD7">
      <w:r>
        <w:separator/>
      </w:r>
    </w:p>
  </w:footnote>
  <w:footnote w:type="continuationSeparator" w:id="0">
    <w:p w:rsidR="00B929ED" w:rsidRDefault="00B929ED" w:rsidP="00F25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335"/>
    <w:multiLevelType w:val="multilevel"/>
    <w:tmpl w:val="B768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553742"/>
    <w:multiLevelType w:val="multilevel"/>
    <w:tmpl w:val="38A09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color w:val="auto"/>
      </w:rPr>
    </w:lvl>
  </w:abstractNum>
  <w:abstractNum w:abstractNumId="2">
    <w:nsid w:val="329D68EA"/>
    <w:multiLevelType w:val="multilevel"/>
    <w:tmpl w:val="24D0C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73D5EB0"/>
    <w:multiLevelType w:val="hybridMultilevel"/>
    <w:tmpl w:val="84E2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7E50A9"/>
    <w:multiLevelType w:val="hybridMultilevel"/>
    <w:tmpl w:val="7C74E572"/>
    <w:lvl w:ilvl="0" w:tplc="916EB0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DF"/>
    <w:rsid w:val="0003037D"/>
    <w:rsid w:val="002147CB"/>
    <w:rsid w:val="003C2E23"/>
    <w:rsid w:val="006022DE"/>
    <w:rsid w:val="00930990"/>
    <w:rsid w:val="009C25DF"/>
    <w:rsid w:val="00AF0AC3"/>
    <w:rsid w:val="00B04BD3"/>
    <w:rsid w:val="00B77FA7"/>
    <w:rsid w:val="00B929ED"/>
    <w:rsid w:val="00E94680"/>
    <w:rsid w:val="00EF6694"/>
    <w:rsid w:val="00F2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F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DF"/>
    <w:pPr>
      <w:ind w:left="720"/>
      <w:contextualSpacing/>
    </w:pPr>
  </w:style>
  <w:style w:type="paragraph" w:customStyle="1" w:styleId="2">
    <w:name w:val="Знак2"/>
    <w:basedOn w:val="a"/>
    <w:rsid w:val="00AF0A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25A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AD7"/>
    <w:rPr>
      <w:rFonts w:eastAsia="Times New Roman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F25A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AD7"/>
    <w:rPr>
      <w:rFonts w:eastAsia="Times New Roman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5A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A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F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DF"/>
    <w:pPr>
      <w:ind w:left="720"/>
      <w:contextualSpacing/>
    </w:pPr>
  </w:style>
  <w:style w:type="paragraph" w:customStyle="1" w:styleId="2">
    <w:name w:val="Знак2"/>
    <w:basedOn w:val="a"/>
    <w:rsid w:val="00AF0A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25A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AD7"/>
    <w:rPr>
      <w:rFonts w:eastAsia="Times New Roman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F25A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AD7"/>
    <w:rPr>
      <w:rFonts w:eastAsia="Times New Roman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5A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65CA-CE9F-49FA-8169-8B65DACD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Чухрий Галина Николаевна</dc:creator>
  <cp:keywords/>
  <dc:description/>
  <cp:lastModifiedBy>konotoptseva</cp:lastModifiedBy>
  <cp:revision>9</cp:revision>
  <cp:lastPrinted>2015-02-25T10:34:00Z</cp:lastPrinted>
  <dcterms:created xsi:type="dcterms:W3CDTF">2015-02-20T07:42:00Z</dcterms:created>
  <dcterms:modified xsi:type="dcterms:W3CDTF">2015-03-13T09:01:00Z</dcterms:modified>
</cp:coreProperties>
</file>