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B2" w:rsidRPr="00D207B2" w:rsidRDefault="00D207B2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06684876"/>
      <w:bookmarkStart w:id="1" w:name="_Toc406685086"/>
      <w:bookmarkStart w:id="2" w:name="_Toc406685266"/>
      <w:bookmarkStart w:id="3" w:name="_Toc406685549"/>
      <w:bookmarkStart w:id="4" w:name="_Toc406685694"/>
      <w:bookmarkStart w:id="5" w:name="_Toc406685751"/>
      <w:bookmarkStart w:id="6" w:name="_Toc406685767"/>
      <w:bookmarkStart w:id="7" w:name="_Toc406687661"/>
      <w:proofErr w:type="gramStart"/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ХАНТЫ_МАНСИЙСК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по предварительным данным за январь-декабрь 2015 ожидается в сумме 17 883,5 млн. рублей, что в действующих ценах превышает уровень соответствующего периода 2014 года на 986,7 млн. рублей, или на 5,8% в сопоставимых ценах (соответствующий период 2014 года – 16 896,8 млн. руб.).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 по всем видам проявления в расчете на душу населения составил 189,4 тыс. рублей, что в действующих ценах на 6,2 тыс. рублей выше аналогичного показателя 2014 года (соответствующий период 2014 года – 183,2 тыс. руб.).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объемов оборота розничной торговли, прежде всего, обусловлена вхождением на потребительский рынок города федеральных операторов, открывая на качественных торговых площадях современные форматы магазинов.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продолжилось вхождение на потребительский рынок города магазинов федеральных операторов разной торговой специализации. Так для населения города в анализируемом периоде открылись торговые предприятия известных брендов сетевой торговли, в том числе с использованием франшиз: магазин товаров для спорта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Спортмастер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- 1336,15 м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магазин мебели «Цвет Диванов» - 699,0 м2; два продовольственных магазина «Магнит» - общей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1080,0 м2; пять специализированных магазинов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Красное-Белое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- 700,8 м2; магазин по продаже бытовой техники «Корпорация центр» - 748,0 м2; второй специализированный непродовольственный магазин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Летуаль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- 250,0м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специализированные магазины «Унция» - 20,0м2,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Ювелюкс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- 20,0м2; магазин российского бренда детской дизайнерской одежды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Стильняшки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- 40,0м2; магазины международных брендов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Reserved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550,0 м2,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O,stin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- 418,0 м2. Проекты магазинов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Reserved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«Унция»,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Стильняшки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Ювелюкс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на условиях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франчайзинга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торговые сети федеральных и региональных операторов в Ханты-Мансийске за 2015 год осуществляли деятельность на 90 торговых объектах (соответствующий период 2014 года - 78) с площадью торгового зала 23852,85 м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период 2014 года – 16919,68 м2).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фоне вхождения федеральных сетей активно развиваются местные торговые сети в различных современных форматах, важной основой бизнеса которых является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клиентоориентированная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 с использованием передовых технологий торговли. Торговые сети создают новые рабочие места, предлагают своим покупателям широкий ассортимент товаров и являются налогоплательщиками.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 введен в эксплуатацию Торговый Центр «NEBO», открыты магазины в новых современных форматах шаговой доступности местных сетевых операторов: продовольственные магазины «Ермак», «Сокол», «НУР», «Погребок», «Гранат», «Крокус», третий магазин «Торговый Дом Пеликан» АО «Рыбокомбината Ханты-Мансийский», пятый магазин бытовой химии «Миф», специализированный магазин товаров для охоты, рыбалки и туризма «Серебряный ручей».</w:t>
      </w:r>
      <w:proofErr w:type="gramEnd"/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обеспеченность населения города Ханты-Мансийска объектами торговли (торговая площадь магазинов и торговых комплексов) по состоянию на 01.01.2016 года 859,0 м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 (соответствующий период 2014 года - 818,5 м2). Данный установленный норматив минимальной обеспеченности торговыми площадями превышен на 167 %.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городе функционируют 1 универсальный розничный рынок, (сельскохозяйственный рынок находится на реконструкции). Рыночный комплекс универсальный функционирует как комфортный торговый центр, общей площадью 3812,0 м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общее количество торговых мест – 94. 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ввода в эксплуатацию новых площадей и открытия новых магазинов за отчетный период в данной отрасли трудоустроено 147 человек (соответствующий период 2014 года - 259 рабочих мест).</w:t>
      </w:r>
    </w:p>
    <w:p w:rsidR="005D2457" w:rsidRPr="00D207B2" w:rsidRDefault="00D207B2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D2457"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бщественное питание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январь-декабрь 2015 года оборот общественного питания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 в действующих ценах по предварительным данным составил 2 655,0 млн. рублей, что больше показателя аналогичного периода 2014 года на 7,1%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(соответствующий период 2014 года – </w:t>
      </w:r>
      <w:r w:rsidRPr="00D207B2">
        <w:rPr>
          <w:rFonts w:ascii="Times New Roman" w:eastAsia="Calibri" w:hAnsi="Times New Roman" w:cs="Times New Roman"/>
          <w:sz w:val="28"/>
          <w:szCs w:val="28"/>
        </w:rPr>
        <w:t>2 480,1 млн. руб.).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7B2">
        <w:rPr>
          <w:rFonts w:ascii="Times New Roman" w:eastAsia="Calibri" w:hAnsi="Times New Roman" w:cs="Times New Roman"/>
          <w:sz w:val="28"/>
          <w:szCs w:val="28"/>
        </w:rPr>
        <w:t>Качественным показателем развития этой сферы потребительского рынка является оборот общественного питания на душу населения, который по предварительным данным составил 28,1 тыс. руб./чел., против 26,9 тыс. руб./чел. в 2014 году.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01.01.2016 года услуги общественного питания в городе предоставляли 176 предприятий общественного питания на 9 683 посадочных мест (2014 год –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 предприятия на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9 702 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посадочных места), в том числе 150 предприятий общедоступной сети на 7 253 посадочных места (2014 год –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 предприятий на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 посадочных места)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7B2">
        <w:rPr>
          <w:rFonts w:ascii="Times New Roman" w:eastAsia="Calibri" w:hAnsi="Times New Roman" w:cs="Times New Roman"/>
          <w:iCs/>
          <w:sz w:val="28"/>
          <w:szCs w:val="28"/>
        </w:rPr>
        <w:t xml:space="preserve">Норматив обеспеченности посадочными местами общедоступной сети на 1000 жителей 40 посадочных мест, </w:t>
      </w:r>
      <w:r w:rsidRPr="00D207B2">
        <w:rPr>
          <w:rFonts w:ascii="Times New Roman" w:eastAsia="Calibri" w:hAnsi="Times New Roman" w:cs="Times New Roman"/>
          <w:sz w:val="28"/>
          <w:szCs w:val="28"/>
        </w:rPr>
        <w:t>в городе Ханты-Мансийске данный норматив превышен в 1,9 раза и составил 77 посадочных мест.</w:t>
      </w:r>
    </w:p>
    <w:p w:rsidR="005D2457" w:rsidRPr="00D207B2" w:rsidRDefault="005D2457" w:rsidP="00D207B2">
      <w:pPr>
        <w:tabs>
          <w:tab w:val="left" w:pos="-426"/>
          <w:tab w:val="left" w:pos="1843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2015 год в эксплуатацию введено 18 предприятий общественного питания на 833 посадочных места, в том числе: 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>кафе «</w:t>
      </w:r>
      <w:proofErr w:type="spellStart"/>
      <w:r w:rsidRPr="00D207B2">
        <w:rPr>
          <w:rFonts w:ascii="Times New Roman" w:eastAsia="Calibri" w:hAnsi="Times New Roman" w:cs="Times New Roman"/>
          <w:bCs/>
          <w:sz w:val="28"/>
          <w:szCs w:val="28"/>
        </w:rPr>
        <w:t>Чайхона</w:t>
      </w:r>
      <w:proofErr w:type="spellEnd"/>
      <w:r w:rsidRPr="00D207B2">
        <w:rPr>
          <w:rFonts w:ascii="Times New Roman" w:eastAsia="Calibri" w:hAnsi="Times New Roman" w:cs="Times New Roman"/>
          <w:bCs/>
          <w:sz w:val="28"/>
          <w:szCs w:val="28"/>
        </w:rPr>
        <w:t>» общей площадью 88 м</w:t>
      </w:r>
      <w:proofErr w:type="gramStart"/>
      <w:r w:rsidRPr="00D207B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D207B2">
        <w:rPr>
          <w:rFonts w:ascii="Times New Roman" w:eastAsia="Calibri" w:hAnsi="Times New Roman" w:cs="Times New Roman"/>
          <w:bCs/>
          <w:sz w:val="28"/>
          <w:szCs w:val="28"/>
        </w:rPr>
        <w:t xml:space="preserve"> на 50 посадочных мест, кафе «Пельменная» общей площадью 175 м</w:t>
      </w:r>
      <w:r w:rsidRPr="00D207B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 xml:space="preserve"> на 42 посадочных места, второе кафе «</w:t>
      </w:r>
      <w:proofErr w:type="spellStart"/>
      <w:r w:rsidRPr="00D207B2">
        <w:rPr>
          <w:rFonts w:ascii="Times New Roman" w:eastAsia="Calibri" w:hAnsi="Times New Roman" w:cs="Times New Roman"/>
          <w:bCs/>
          <w:sz w:val="28"/>
          <w:szCs w:val="28"/>
        </w:rPr>
        <w:t>БулKing</w:t>
      </w:r>
      <w:proofErr w:type="spellEnd"/>
      <w:r w:rsidRPr="00D207B2">
        <w:rPr>
          <w:rFonts w:ascii="Times New Roman" w:eastAsia="Calibri" w:hAnsi="Times New Roman" w:cs="Times New Roman"/>
          <w:bCs/>
          <w:sz w:val="28"/>
          <w:szCs w:val="28"/>
        </w:rPr>
        <w:t>» общей площадью 25 м</w:t>
      </w:r>
      <w:r w:rsidRPr="00D207B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2 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 xml:space="preserve">на 10 посадочных мест, 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караоке-бар «Старая Пластинка» 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>общей площадью 217 м</w:t>
      </w:r>
      <w:r w:rsidRPr="00D207B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="00D207B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>на 72 посадочных места, придорожное кафе «</w:t>
      </w:r>
      <w:r w:rsidRPr="00D207B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MIX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>» общей площадью 270 м</w:t>
      </w:r>
      <w:proofErr w:type="gramStart"/>
      <w:r w:rsidRPr="00D207B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D207B2">
        <w:rPr>
          <w:rFonts w:ascii="Times New Roman" w:eastAsia="Calibri" w:hAnsi="Times New Roman" w:cs="Times New Roman"/>
          <w:bCs/>
          <w:sz w:val="28"/>
          <w:szCs w:val="28"/>
        </w:rPr>
        <w:t xml:space="preserve"> на 50 посадочных мест - проект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 реализован в части мероприятий по развитию дорожного сервиса, кафе-бар «Крым» 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>общей площадью 110 м</w:t>
      </w:r>
      <w:r w:rsidRPr="00D207B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7B2">
        <w:rPr>
          <w:rFonts w:ascii="Times New Roman" w:eastAsia="Calibri" w:hAnsi="Times New Roman" w:cs="Times New Roman"/>
          <w:bCs/>
          <w:sz w:val="28"/>
          <w:szCs w:val="28"/>
        </w:rPr>
        <w:t>на 60 посадочных мест и др.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динамичное развитие общедоступной сети, в 2015 году закрыто 24 объекта общественного питания на 852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посадочных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 Помещения планируются переоборудовать для размещения </w:t>
      </w:r>
      <w:r w:rsidRPr="00D20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разных категорий объектов, в том числе торговых и общественного питания.</w:t>
      </w:r>
    </w:p>
    <w:p w:rsidR="005D2457" w:rsidRPr="00D207B2" w:rsidRDefault="005D2457" w:rsidP="00D207B2">
      <w:pPr>
        <w:tabs>
          <w:tab w:val="left" w:pos="-426"/>
          <w:tab w:val="left" w:pos="1843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открыты предприятия общественного питания </w:t>
      </w: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известных международных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брендов, две</w:t>
      </w: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кофейни «</w:t>
      </w:r>
      <w:r w:rsidRPr="00D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Traveler</w:t>
      </w:r>
      <w:r w:rsidRPr="00D207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D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coffee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69 и 30 посадочных места</w:t>
      </w:r>
      <w:r w:rsidRPr="00D207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ресторанный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зарегистрированный в сегменте сетевых семейных ресторанов "Планета суши", "IL PATIO" на 184 посадочных места, все </w:t>
      </w:r>
      <w:r w:rsidRPr="00D207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проекты реализованы на условиях </w:t>
      </w:r>
      <w:proofErr w:type="spellStart"/>
      <w:r w:rsidRPr="00D207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франчайзинга</w:t>
      </w:r>
      <w:proofErr w:type="spellEnd"/>
      <w:r w:rsidRPr="00D207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ресторан быстрого питания «</w:t>
      </w:r>
      <w:r w:rsidRPr="00D207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KFC</w:t>
      </w:r>
      <w:r w:rsidRPr="00D207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48 посадочных мест.</w:t>
      </w:r>
    </w:p>
    <w:p w:rsidR="005D2457" w:rsidRPr="00D207B2" w:rsidRDefault="005D2457" w:rsidP="00D207B2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7B2">
        <w:rPr>
          <w:rFonts w:ascii="Times New Roman" w:eastAsia="Calibri" w:hAnsi="Times New Roman" w:cs="Times New Roman"/>
          <w:sz w:val="28"/>
          <w:szCs w:val="28"/>
        </w:rPr>
        <w:t>С приходом на потребительский рынок города сетевых операторов, созданы новые рабочие места, расширился ассортимент готовой продукции, улучшилось качество предоставляемых услуг.</w:t>
      </w:r>
    </w:p>
    <w:p w:rsidR="005D2457" w:rsidRPr="00D207B2" w:rsidRDefault="005D2457" w:rsidP="00D207B2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7B2">
        <w:rPr>
          <w:rFonts w:ascii="Times New Roman" w:eastAsia="Calibri" w:hAnsi="Times New Roman" w:cs="Times New Roman"/>
          <w:sz w:val="28"/>
          <w:szCs w:val="28"/>
        </w:rPr>
        <w:t>Во вновь открывшихся предприятиях отрасли общественного питания трудоустроено 185 специалистов (2014 год – 158).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Платные услуги населения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 январь-декабрь 2015 года объем </w:t>
      </w:r>
      <w:proofErr w:type="gramStart"/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платных услуг, оказываемых населению города Ханты-Мансийска составил</w:t>
      </w:r>
      <w:proofErr w:type="gramEnd"/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5 890,0 млн. рублей, увеличение в сопоставимых ценах к соответствующему периоду 2014 года составило 106,4% (2014 год – 5 530,6 млн. руб.).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платных услуг на душу населения составил 62,4 тыс. руб. (соответствующий период 2014 года – 60,0 тыс. руб.).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структуре платных услуг самыми востребованными, были услуги обязательного характера: жилищно-коммунальные услуги (32,4%), услуги связи (36,0%) и услуги пассажирского транспорта (5,8%).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общем объеме </w:t>
      </w:r>
      <w:proofErr w:type="gramStart"/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платных услуг, оказанных населению города бытовые услуги составляют</w:t>
      </w:r>
      <w:proofErr w:type="gramEnd"/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7,0%, объем оказываемых бытовых услуг по городу по предварительным оценкам составил 412,3 млн. рублей или 106,5% в сопоставимых ценах к уровню 2014 года (соответствующий период 2014 года – 387,1 млн. рублей).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бытовых услуг на одного жителя города Ханты-Мансийска за январь-декабрь 2015 года составил в сумме 4 367 рублей (соответствующий период 2014 года – 4 197 руб.).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01.01.2016 на территории города функционируют 405 объектов бытового обслуживания населения (на 01.01.2015 года - 393 объекта), которые оказывают более 800 видов услуг, предусмотренные общероссийским классификатором услуг населению востребованных жителями города Ханты-Мансийска.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2015 год открыто 25 объектов по оказанию бытовых услуг (2014 год – 24 объекта): парикмахерские услуги – 10, ремонт и изготовление металлоизделий-1, ремонт и изготовление мебели -2, услуги фотографии -2, ремонт и пошив одежды-3, ремонт и строительство жилья, иных построек -2,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ТО автотранспортных средств – 5.</w:t>
      </w:r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Наибольшую долю бытовых услуг в общей структуре по прежнему занимают парикмахерские услуги (27,5%), услуги автосервиса (26,4%), по пошиву и ремонту одежды (13,3%), по ремонту обуви (9,1%), услуги по ремонту и техническому обслуживанию бытовой радиоэлектронной аппаратуры, бытовых машин и приборов и изготовлению металлоизделий (12,1%), которые являются более востребованными и социально значимыми.</w:t>
      </w:r>
      <w:proofErr w:type="gramEnd"/>
    </w:p>
    <w:p w:rsidR="005D2457" w:rsidRPr="00D207B2" w:rsidRDefault="005D2457" w:rsidP="00D20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20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вновь открывшихся предприятиях бытового обслуживания горожанам предоставлено 93 рабочих места (2014 год - 91).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защиты прав потребителей</w:t>
      </w:r>
    </w:p>
    <w:p w:rsidR="005D2457" w:rsidRPr="00D207B2" w:rsidRDefault="00D207B2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Приоритетным на</w:t>
      </w:r>
      <w:r w:rsidR="005D2457"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правлением в сфере защиты прав потребителей является организация всестороннего и объективного рассмотрения обращений граждан по вопросам защиты их прав, принятие мер по оказанию содействия в досудебном разрешении споров между потребителями и хозяйствующими субъектами, обеспечение равного доступа всех слоев населения к механизмам реализации защиты прав потребителей на основе безвозмездности, беспристрастности и индивидуального подхода к каждому потребителю.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2014 года проведена работа по оказанию практической помощи потребителям в восстановлении их нарушенных прав. Даны соответствующие консультации по защите их прав, составлены претензии, оказана помощь в составлении исковых заявлений для обращения в суд по нарушенному праву,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оказана помощь в разрешении конфликтных ситуаций в досудебном порядке в соответствии с действующим законодательством.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За 2015 год от жителей города по нарушениям законодательства о защите прав потребителей поступило 1 431обращения (в 2014 году – 1 673), в том числе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письменных заявлений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Предъявлено 1 278 требование (претензия) к продавцу, изготовителю, испо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>лнителю, из них письменных-151.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Удовлетворено продавцами (исполнителями) в добровольном (досудебном)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порядке 1 248(96 %) претензий на сумму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4,3 млн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в т.ч. по претензиям, составленным письменно от имени потребителей было удовлетворено 121 требование.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Сумма предъявленных требований в денежном выражении уменьшилась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(2014 г. – 6248,8 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 2015 г. – 5679,8).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-7282815</wp:posOffset>
            </wp:positionH>
            <wp:positionV relativeFrom="paragraph">
              <wp:posOffset>105410</wp:posOffset>
            </wp:positionV>
            <wp:extent cx="5857875" cy="19050"/>
            <wp:effectExtent l="0" t="0" r="9525" b="0"/>
            <wp:wrapNone/>
            <wp:docPr id="1" name="Прямая со стрелкой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ая со стрелкой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причин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снижения общего количества обращений граждан по защите своих прав во всех сегментах потребительского рынка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считаем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разъяснительную и просветительскую работу, проводимую управлением потребительского рынка и защиты прав потребителей Администрации города Ханты-Мансийска, выступления сотрудников на телевидении, совещаниях и семинарах для предпринимательского корпуса, для учащихся учреждений среднего профессионального образования, для у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>чеников старших классов в МБОУ.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2015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года проведена работа по оказанию практической помощи потребителям в восстановлении их нарушенных прав. Даны соответствующие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защите прав, составлены претензии.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Данный факт свидетельствует о том, что потребители активно используют метод предъявления претензий при защите нарушенных прав. А снижение количества обращений граждан в отдел по защите прав потребителей свидетельствует о том, что предприниматели города стараются вести свою деятельность в соответствии с законодательством Российской Федерации, и не допускают конфликтных ситуаций.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Pr="00D207B2">
        <w:rPr>
          <w:rFonts w:ascii="Times New Roman" w:eastAsia="Courier New" w:hAnsi="Times New Roman" w:cs="Times New Roman"/>
          <w:sz w:val="28"/>
          <w:szCs w:val="28"/>
          <w:lang w:eastAsia="ru-RU"/>
        </w:rPr>
        <w:t>потребителям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ourier New" w:hAnsi="Times New Roman" w:cs="Times New Roman"/>
          <w:sz w:val="28"/>
          <w:szCs w:val="28"/>
          <w:lang w:eastAsia="ru-RU"/>
        </w:rPr>
        <w:t>оказана помощь</w:t>
      </w:r>
      <w:r w:rsidR="00D20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ourier New" w:hAnsi="Times New Roman" w:cs="Times New Roman"/>
          <w:sz w:val="28"/>
          <w:szCs w:val="28"/>
          <w:lang w:eastAsia="ru-RU"/>
        </w:rPr>
        <w:t>в сборе доказательных материалов и</w:t>
      </w:r>
      <w:r w:rsidR="00D20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составлении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20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проектов исковых заявлений на сумму 2 860 800 рублей (в 2014 году – 19 на сумму 1 092 100 рублей).</w:t>
      </w:r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2457" w:rsidRPr="00D207B2" w:rsidRDefault="005D2457" w:rsidP="00D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Мировыми судьями рассмотрено 24 заявления. В пользу потребителей вынесено 17 судебных решений, заключено 3 мировых соглашения, 4 потребителям отказано. На стадии рассмотрения находится 6 исковых заявлений.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 итоги, можно сказать, что проделанная работа помогает оптимизировать развитие потребительского рынка города Ханты-Мансийска. Положительно меняются показатели соответствия объектов торговли законодательству о защите прав потребителей, качественная составляющая деятельности объектов торговли также претерпевает позитивные сдвиги,</w:t>
      </w:r>
      <w:r w:rsidR="00D2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Calibri" w:hAnsi="Times New Roman" w:cs="Times New Roman"/>
          <w:sz w:val="28"/>
          <w:szCs w:val="28"/>
          <w:lang w:eastAsia="ru-RU"/>
        </w:rPr>
        <w:t>тем не менее, и в дальнейшем будут предприниматься все необходимые меры, в рамках действующего законодательства, по улучшению ситуации на потребительском рынке с целью защиты прав потребителей на территории города. Основной акцент будет сделан на повышение уровня потребительской и правовой грамотности населения и субъектов предпринимательства.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наиболее значительное удалось сделать по направлению деятельности в 2015 году?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Мероприятия, по сдерживанию роста потребительских цен.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Заключено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сотрудничестве по обеспечению социальной стабильности на территории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между Администрацией города Ханты-Мансийска 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34 хозяйствующими субъектами: арендодателями, производителями, хозяйствующими субъектами осуществляющих деятельность по реализации в сфере розничной торговли продовольственных товаров.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Стороны действуют в общих интересах населения города и предпринимательского сообщества и предпринимают все возможные меры для стабилизации цен на продовольственные товары первой необходимости и не допущения их необоснованного роста на территории города Ханты-Мансийска.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предпринимательского сообщества обязуются не допускать нарушения в сфере установления предельных торговых надбавок к ценам на социально значимые товары, неукоснительно соблюдая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Ханты-Мансийского автономного округа -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октября 2007 года №250-п «Об установлении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размеров торговых надбавок к ценам на некоторые виды продовольственных товаров».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обслуживания для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незащищенных категорий граждан через сеть объектов бытового обслуживания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социального партнерства по оказанию бытовых услуг между Администрацией города, муниципальным казенным учреждением «Служба социальной поддержки населения», Администрацией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и субъектами бытового обслуживания по предоставлению 30% скидки на социально-значимые бытовые услуги для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льготной категории населения города: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тружеников тыла;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инвалидов и участников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вдов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участников Великой Отечественной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награжденных знаком «Жителю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блокадного Ленинграда»;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бывших несовершеннолетних узников фашистских лагерей.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Предприятиями,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заключивших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обслужено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года: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ремонту обуви - 31 человек;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ремонту одежды - 17 человек;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химическая чистка одежды - 1, чистка ковров - 3;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прачечная - 7 человек;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парикмахерские -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повышения экономической доступности товаров и услуг для населения города,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система обслуживания социально незащищенных категорий граждан.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города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 класса» расположенных по адресам: ул. Свободы, 46; ул. Мира, 123;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Чехова, 51а; ул. Чкалова, 40; ул. Энгельса, 27.</w:t>
      </w:r>
      <w:proofErr w:type="gramEnd"/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социальные объекты призваны усиливать социальную политику в сфере потребительского рынка и услуг.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 ноября 2015 года, в соответствие с письмом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№1228 от 16.11.2015г,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мониторинг ценовой ситуации по 40 наименованиям продовольственных товаров на потребительском рынке продовольственных товаров проводится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в разрезе торговых сетей на 14 торговых объектах и ярмарке «выходного дня». Данные мониторинга ежемесячно направляются в бюджетное учреждение Ханты-Мансийского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центр инвестиций»,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 и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инвестиций Администрации города Ханты-Мансийска, управление анализа и стратегического планирован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Думы города Ханты-Мансийска.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Ежедекадно проводится мониторинг цен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«Минимальные, максимальные цены на фиксированный набор продуктов по товаропроизводителям »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размещается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официальном информационном портале органов местного самоуправления города Ханты-Мансийска в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информере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«Цены на продукты».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Продолжает работать телефон «горячей линии» для рассмотрения обращений граждан, права которых нарушены при необоснованном повышении цен на социально значимые продовольственные товары хозяйствующими субъектами, осуществляющими торговую деятельность в городе.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Управлением потребительского рынка и защиты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потребителей Администрации города Ханты-Мансийска</w:t>
      </w:r>
      <w:proofErr w:type="gramEnd"/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соответствии с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устойчивого экономического развития и социальной стабильности в городе Ханты-Мансийске.</w:t>
      </w:r>
    </w:p>
    <w:p w:rsidR="005D2457" w:rsidRPr="00D207B2" w:rsidRDefault="00D207B2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сбалансированности товарных рынков, расширения каналов сбыта отечественной сельскохозяйственной продукции, для оказания содействия развития межрегионального сотрудничества в городе Ханты-Мансийске проводятся выставочно-ярмарочные мероприятия: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году в городе Ханты-Мансийске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69 ярмарок (2014-64),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«выходного дня» на городском рынке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«Лукошко».</w:t>
      </w:r>
    </w:p>
    <w:p w:rsidR="005D2457" w:rsidRPr="00D207B2" w:rsidRDefault="00D207B2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5D2457"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мероприятий проведено 4 ярмарки: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- 5,6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2015 года выставка – ярмарка «Ежегодный день урожая Ханты-Мансийского автономного округа –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прилегающей территории городского рынка города Ханты-Мансийска.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22 предпринимателя, граждане города Ханты-Мансийска, ведущие крестьянские (фермерские) хозяйства, личные подсобные хозяйства, занимающиеся садоводством, огородничеством;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- 10,11 октября 2015 года проведена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городская сельскохозяйственная ярмарка «Дары осени» на прилегающей территории СК «Дружба» ул.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Рознина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, 104.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ярмарке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сельхозпредприятий, организаций, ЛПХ, КФХ и индивидуальных предпринимателей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Тюменской, Свердловской, Челябинской, Омской областей, Алтайского края,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Самары, Ханты-Мансийского района и Ханты-Мансийского округа.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4,5 декабря 2015 года ярмарка «Покупаем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Тюменское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прилегающей территории городского рынка города Ханты-Мансийска.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11 предприятий Тюменской области с реализацией сельхозпродукции (молоко, мясо, рыба, яйцо, мясо птиц, дикоросы)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- 25,26 декабря ярмарка «Новогодняя» на универсальном рынке «Лукошко». Приняли участие 11 сельхозпроизводителей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Ханты-Мансийска и Ханты-Мансийского района.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ярмарки: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ярмарка «Масленица красота, отворяй-ка ворота»;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– ярмарка «Мода и красота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«Продуктовая ярмарка»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КВЦ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Югра-Экспо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XV выставка-ярмарка «Югорский рыбный фестиваль» в КВЦ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Югра-Экспо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ярмарка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«Дары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КВЦ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Югра-Экспо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24 предприятия из 29 регионов, в т. ч.: из городов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Ханты-Мансийского района,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ХМАО-Югры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ЯНАО, Белоруссии,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Екатеринбурга, Кургана, Омска, Москвы, Тольятти, Саратова, Челябинска и других городов;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- 12-я городская выставка-ярмарка «Праздник хлеба». Приняли участие 15 производителей хлеба и хлебобулочных изделий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Ханты-Мансийска;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ярмарка «Садовая» 23 мая-22 июня 2014г., 14 участников из городов: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Ханты-Мансийск, Омск, Новосибирская область и другие;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выставка-ярмарка «Спасти и сохранить» на сельскохозяйственном рынке 06 июня 2015 г.,12 участников г. Ханты-Мансийск (саженцы, рассада, семена);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ярмарка «Школьный базар» на прилегающей территории универсального рынка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по 31 августа 2015 года, приняли участие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9 предпринимателей;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- 27-29 августа 2015 года VI Межрегиональная агропромышленная выставка Уральского Федерального округа в КВЦ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Югра-Экспо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Более 100 участников из Тюменской, Челябинской, Свердловской, Курганской областей, Ямало-Ненецкого автономного округа, Ханты-Мансийского автономного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 Ханты-Мансийска и Ханты-Мансийского района;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- 16-20 сентября 2015 года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«Дары осени» в КВЦ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Югра-Экспо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Приняли участие 42 предприятия и организаций из городов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Ханты-Мансийского района, городов Нижневартовска,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Екатеринбурга, Кургана, Иркутска, Москвы, Челябинска и других.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- 13-15 ноября выставка – ярмарка «Зимняя сказка».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35 товаропроизводителей продовольственных товаров (мясная, рыбная продукция, мед)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субъекты потребительского рынка с реализацией непродовольственных товаров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регионов страны.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- 10- 12 декабря выставка-ярмарка «Товары земли Югорской» в КВЦ «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Югра-Экспо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Приняли участие 205 предприятий Ханты-Мансийского автономного округа.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проведены 3 заседания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 по вопросу ценовой ситуации, сложившейся по реализации продуктов питания в городе Ханты-Мансийске, с участием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сетевых магазинов, оптовых магазинов 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товаропроизводителей по вопросу увеличения ассортимента социально значимой продукции местного производства и активизации работы по развитию «упрощенных» форм торговли, обеспечивающих прямой доступ пищевых продуктов от производителей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потребителю.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рабочая группа по мониторингу ценовой ситуации на продовольственном рынке города Ханты-Мансийска (распоряжение Администрации города Ханты-Мансийска от 09.09.2014 №162-р «О рабочей группе по мониторингу ценовой ситуации на продовольственном рынке города Ханты-Мансийска»). Проведено 8 заседаний. Рассмотрено 30 вопросов.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Мероприятия, проводимые за 2015 год по привлечению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ополнительных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(доходов) в бюджет города Ханты-Мансийска: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Ханты-Мансийска от 14.02. 2014 №82 «Об утверждении перечня должностных лиц Администрации города Ханты-Мансийска, уполномоченных на составление протоколов об административных правонарушениях» должностные лица управления потребительского рынка и защиты прав потребителей Администрации города Ханты-Мансийска,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уполномочены составлять протокола об административных правонарушениях, предусмотренных Законом Ханты-Мансийского автономного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11.06.2010 102-оз «Об административных правонарушениях».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несанкционированную торговлю 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благоустройства и озеленения территории города Ханты-Мансийска, составлено и рассмотрено на административной комиссии 120 протоколов, наложено штрафов на сумму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169 100,0 руб. (2014 год - 154 протокола,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 штрафов на сумму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168 300,0 рублей).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плана мероприятий пункта 1.31 по повышению поступлений налоговых и неналоговых доходов в бюджет города Ханты-Мансийска на 2015 год и плановый период 2016 и 2017 годов, в адрес Департамента управления финансами направлена информация за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год, о внесенных изменениях в единый реестр объектов потребительского рынка города Ханты-Мансийска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разделам: торговля, общественное питание, бытовое обслуживание с данными о хозяйствующем субъекте: 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98 хозяйствующих субъектов.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 109 хозяйствующих субъектов.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решений Межведомственной рабочей группы по повышению роли имущественных налогов в формировании бюджета города Ханты-Мансийска от 12.11.2015, Комиссии по мобилизации дополнительных доходов в бюджет города Ханты-Мансийска от 17.11.2015 проведена работа с хозяйствующими субъектами потребительского рынка по следующим направлениям деятельности: с налогоплательщиками ЕНВД, имеющие по состоянию на 13.11.2015 задолженность свыше 50 тыс. руб., образовавшуюся в 2015 году (исключая пени по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текущим платежам),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города Ханты-Мансийска перечислено 1470 027,00 рублей; с индивидуальными предпринимателями, проживающие в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Ханты-Мансийске по задолженности по имущественным налогам по состоянию на 19.11.2015,в бюджет города Ханты-Мансийска перечислено 576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891,24 рублей.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Влияние результатов деятельности на качество жизни населения, в части спектра оказываемых услуг населению: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сотрудниками полиции МО МВД России «Ханты-Мансийский» за 2015 г.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проверке исполнения Федерального закона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ХМАО –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31.03.2012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№34-оз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дополнительных ограничений времени и мест продажи алкогольной продукции в Ханты-Мансийском автономном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округе-Югре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194 торговых объектов, выявлено 42 нарушения: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ст.14.2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(продажа товара запрещена или ограничена) привлечено –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лиц; ст. 14.16 ч.2.1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(розничная продажа несовершеннолетнему алкогольной продукции) привлечено – 2 лица;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14.16 ч.3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(нарушение иных правил розничной продажи алкогольной и спиртосодержащей продукции) привлечено – 14 лиц.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 около 463 литров алкогольной продукции.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успехи и достижения Ваших коллег из других городов Вы бы особо отметили?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отделов «Ветеран» 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реализующих продажу товаров с 5-процентной торговой надбавкой или выдачей бесплатных наборов продуктов ветеранам Великой отечественной войны и инвалидам.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Организация предприятий общественного питания на объектах дорожного сервиса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Реализация мер поддержки предприятиям, обслуживающим социально незащищенные слои населения, субъектам малого и среднего предпринимательства путем предоставления льгот по местным налогам и сборам, аренде имущества.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наиболее трудные проблемы не удалось решить в прошедшем году?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работа по упорядочению, оптимизации мелкорозничной торговой сети.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основных мероприятий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по упорядочению размещения объектов мелкорозничной торговой сети города будет являться: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нестационарных торговых объектов в соответствие с архитектурным обликом города, замена старых объектов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предпринимателей к созданию цивилизованных условий торговли.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по</w:t>
      </w:r>
      <w:r w:rsidR="00D2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потребительского рынка</w:t>
      </w:r>
      <w:r w:rsidR="00D2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 год.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современной инфраструктуры потребительского рынка и повышение территориальной доступности торговых объектов для населения города, предполагающие: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развитие сетевой торговли,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с использованием механизма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франчайзинга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открытие многофункциональных торговых объектов, магазинов "шаговой доступности"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расширение сети предприятий общественного питания, в том числе: в общедоступной сети за счет развития предприятий "быстрого питания", включая специализированные предприятия в зонах комплексного торгового, гостиничного обслуживания и других объектах.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экономической доступности товаров и услуг для населения города, предполагающее: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проведение мониторинга цен на основные социально значимые продовольственные товары в розничной сети города;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обследования объектов потребительского рынка по вопросам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ценообразования при формировании розничных цен на продовольственные товары,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Ханты-Мансийского автономного округа –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06.02.2015 года № 23-п «О внесении изменений в Постановление Правительства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– </w:t>
      </w:r>
      <w:proofErr w:type="spell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16.10.2007 года № 250-п «Об установлении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надбавок к ценам на некоторые виды продовольственных товаров»; 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стабилизации ценовой ситуации в городе путем организации и проведения мероприятий организационного, информационного характера.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ярмарок, что создает условие упрощённого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на розничный рынок производителей товаров и создание условий для налаживания прямых связей между производителями и розничной торговлей города;</w:t>
      </w:r>
      <w:proofErr w:type="gramEnd"/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обслуживания социально незащищенных категорий граждан с предоставлением скидок на товары и услуги по социальным картам или в рамках собственных дисконтных программ предприятий тор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 и бытового обслуживания.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регулирования в сфере потребительского рынка, предполагающее:</w:t>
      </w:r>
    </w:p>
    <w:p w:rsid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защиты прав потребителей, развитие системы правовой помощи потребителям в случаях нарушения их прав.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4. Повышение качества и обеспечение безопасности товаров и услуг: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пресечение торговой деятельности, оказания услуг общественного питания и бытового обслуживания в неустановленных для этих целей местах;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проведение информационно-разъяснительной работы с юридическими лицами, индивидуальными предпринимателями о качестве и безопасности пищевых продуктов и предоставления услуг.</w:t>
      </w:r>
    </w:p>
    <w:p w:rsidR="005D2457" w:rsidRPr="00D207B2" w:rsidRDefault="005D2457" w:rsidP="00D20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5. Кадровое обеспечение сферы потребительского рынка: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организация взаимодействия руководителей предприятий торговли, общественного питания, бытового обслуживания</w:t>
      </w:r>
      <w:r w:rsid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учебным заведением, осуществляющим обучение основным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 и профессиям потребительского рынка (товаровед, продавец, парикмахер, технолог общественного питания, повар - кондитер, официант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т.д.);</w:t>
      </w:r>
    </w:p>
    <w:p w:rsidR="005D2457" w:rsidRPr="00D207B2" w:rsidRDefault="005D2457" w:rsidP="00D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семинаров для хозяйствующих субъектов осуществляющих розничную торговлю потребительских товаров.</w:t>
      </w:r>
    </w:p>
    <w:p w:rsidR="005D2457" w:rsidRPr="00D207B2" w:rsidRDefault="005D2457" w:rsidP="00D20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Информационное обеспечение в сфере потребительского рынка: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через освещение в средствах массовой информации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информационный портал органов местного самоуправления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ситуации на потребительском рынке</w:t>
      </w:r>
      <w:r w:rsidR="00D2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B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целях повышения открытости и доступности информации для хозяйствующих субъектов, осуществляющих деятельность в сфере потребительского рынка, и населения. </w:t>
      </w:r>
    </w:p>
    <w:sectPr w:rsidR="005D2457" w:rsidRPr="00D207B2" w:rsidSect="00D207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3B" w:rsidRDefault="00CD483B" w:rsidP="00CD483B">
      <w:pPr>
        <w:spacing w:after="0" w:line="240" w:lineRule="auto"/>
      </w:pPr>
      <w:r>
        <w:separator/>
      </w:r>
    </w:p>
  </w:endnote>
  <w:endnote w:type="continuationSeparator" w:id="0">
    <w:p w:rsidR="00CD483B" w:rsidRDefault="00CD483B" w:rsidP="00CD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3B" w:rsidRDefault="00CD483B" w:rsidP="00CD483B">
      <w:pPr>
        <w:spacing w:after="0" w:line="240" w:lineRule="auto"/>
      </w:pPr>
      <w:r>
        <w:separator/>
      </w:r>
    </w:p>
  </w:footnote>
  <w:footnote w:type="continuationSeparator" w:id="0">
    <w:p w:rsidR="00CD483B" w:rsidRDefault="00CD483B" w:rsidP="00CD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1046"/>
    <w:multiLevelType w:val="multilevel"/>
    <w:tmpl w:val="4DF636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57"/>
    <w:rsid w:val="005D2457"/>
    <w:rsid w:val="008C2819"/>
    <w:rsid w:val="00CD483B"/>
    <w:rsid w:val="00D2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457"/>
  </w:style>
  <w:style w:type="paragraph" w:styleId="a5">
    <w:name w:val="footer"/>
    <w:basedOn w:val="a"/>
    <w:link w:val="a6"/>
    <w:uiPriority w:val="99"/>
    <w:unhideWhenUsed/>
    <w:rsid w:val="005D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457"/>
  </w:style>
  <w:style w:type="paragraph" w:styleId="a7">
    <w:name w:val="No Spacing"/>
    <w:uiPriority w:val="1"/>
    <w:qFormat/>
    <w:rsid w:val="005D24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4216</Words>
  <Characters>24036</Characters>
  <Application>Microsoft Office Word</Application>
  <DocSecurity>0</DocSecurity>
  <Lines>200</Lines>
  <Paragraphs>56</Paragraphs>
  <ScaleCrop>false</ScaleCrop>
  <Company>Microsoft</Company>
  <LinksUpToDate>false</LinksUpToDate>
  <CharactersWithSpaces>28196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2016-03-16T12:19:00Z</dcterms:created>
  <dcterms:modified xsi:type="dcterms:W3CDTF">2016-03-17T12:27:00Z</dcterms:modified>
</cp:coreProperties>
</file>