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01" w:rsidRPr="00AB7B01" w:rsidRDefault="00AB7B01" w:rsidP="00AB7B01">
      <w:pPr>
        <w:pStyle w:val="Style7"/>
        <w:widowControl/>
        <w:jc w:val="both"/>
        <w:rPr>
          <w:rStyle w:val="FontStyle29"/>
          <w:b/>
          <w:sz w:val="28"/>
          <w:szCs w:val="28"/>
        </w:rPr>
      </w:pPr>
      <w:r w:rsidRPr="00AB7B01">
        <w:rPr>
          <w:rStyle w:val="FontStyle29"/>
          <w:b/>
          <w:sz w:val="28"/>
          <w:szCs w:val="28"/>
        </w:rPr>
        <w:t>ПЕТРОПАВЛОВСК-КАМЧАТСКИЙ</w:t>
      </w:r>
    </w:p>
    <w:p w:rsidR="00AB7B01" w:rsidRPr="00AB7B01" w:rsidRDefault="00AB7B01" w:rsidP="00AB7B01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AB7B01">
        <w:rPr>
          <w:rStyle w:val="FontStyle29"/>
          <w:sz w:val="28"/>
          <w:szCs w:val="28"/>
        </w:rPr>
        <w:t>В 2015 году оборот розничной торговли по крупным и средним организациям составил 10,3 млрд. руб., 107,6 % к уровню 2014 года. Рост оборота розничной торговли обеспечили торгующие организации.</w:t>
      </w:r>
    </w:p>
    <w:p w:rsidR="00AB7B01" w:rsidRPr="00AB7B01" w:rsidRDefault="00AB7B01" w:rsidP="00AB7B01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AB7B01">
        <w:rPr>
          <w:rStyle w:val="FontStyle29"/>
          <w:sz w:val="28"/>
          <w:szCs w:val="28"/>
        </w:rPr>
        <w:t xml:space="preserve">Оборот общественного питания составил 248,24 млн. руб. (по крупным и </w:t>
      </w:r>
      <w:proofErr w:type="gramStart"/>
      <w:r w:rsidRPr="00AB7B01">
        <w:rPr>
          <w:rStyle w:val="FontStyle29"/>
          <w:sz w:val="28"/>
          <w:szCs w:val="28"/>
        </w:rPr>
        <w:t>среднем</w:t>
      </w:r>
      <w:proofErr w:type="gramEnd"/>
      <w:r w:rsidRPr="00AB7B01">
        <w:rPr>
          <w:rStyle w:val="FontStyle29"/>
          <w:sz w:val="28"/>
          <w:szCs w:val="28"/>
        </w:rPr>
        <w:t xml:space="preserve"> организациям) что на 34,5 % больше чем в 2014 году.</w:t>
      </w:r>
    </w:p>
    <w:p w:rsidR="00AB7B01" w:rsidRPr="00AB7B01" w:rsidRDefault="00AB7B01" w:rsidP="00AB7B01">
      <w:pPr>
        <w:pStyle w:val="Style18"/>
        <w:widowControl/>
        <w:jc w:val="both"/>
        <w:rPr>
          <w:rStyle w:val="FontStyle29"/>
          <w:sz w:val="28"/>
          <w:szCs w:val="28"/>
        </w:rPr>
      </w:pPr>
      <w:r w:rsidRPr="00AB7B01">
        <w:rPr>
          <w:rStyle w:val="FontStyle29"/>
          <w:sz w:val="28"/>
          <w:szCs w:val="28"/>
        </w:rPr>
        <w:t xml:space="preserve">Объем </w:t>
      </w:r>
      <w:proofErr w:type="gramStart"/>
      <w:r w:rsidRPr="00AB7B01">
        <w:rPr>
          <w:rStyle w:val="FontStyle29"/>
          <w:sz w:val="28"/>
          <w:szCs w:val="28"/>
        </w:rPr>
        <w:t>платных услуг, оказанных населению крупными и средними организациями городского округа составил</w:t>
      </w:r>
      <w:proofErr w:type="gramEnd"/>
      <w:r w:rsidRPr="00AB7B01">
        <w:rPr>
          <w:rStyle w:val="FontStyle29"/>
          <w:sz w:val="28"/>
          <w:szCs w:val="28"/>
        </w:rPr>
        <w:t xml:space="preserve"> 11 822,5 млн. руб., что меньше аналогичного показателя 2014 года на 3,3 %. В структуре оборота преобладают коммунальные услуги и услуги связи - 66,2 % от всего объёма.</w:t>
      </w:r>
    </w:p>
    <w:p w:rsidR="00AB7B01" w:rsidRPr="00AB7B01" w:rsidRDefault="00AB7B01" w:rsidP="00AB7B01">
      <w:pPr>
        <w:pStyle w:val="Style18"/>
        <w:widowControl/>
        <w:jc w:val="both"/>
        <w:rPr>
          <w:rStyle w:val="FontStyle29"/>
          <w:sz w:val="28"/>
          <w:szCs w:val="28"/>
        </w:rPr>
      </w:pPr>
      <w:r w:rsidRPr="00AB7B01">
        <w:rPr>
          <w:rStyle w:val="FontStyle29"/>
          <w:sz w:val="28"/>
          <w:szCs w:val="28"/>
        </w:rPr>
        <w:t>Объём бытовых услуг населению по крупным и средним организациям составил 59,4 млн. руб. по сравнению с 2014 годом вырос объем услуг по ремонту и пошиву швейных, меховых и кожаных изделий (19,8 %), а также объём оказанных ритуальных услуг (17,9 %).</w:t>
      </w:r>
    </w:p>
    <w:p w:rsidR="006427F4" w:rsidRPr="00AB7B01" w:rsidRDefault="00AB7B01" w:rsidP="00AB7B01">
      <w:pPr>
        <w:pStyle w:val="Style7"/>
        <w:widowControl/>
        <w:jc w:val="both"/>
        <w:rPr>
          <w:sz w:val="28"/>
          <w:szCs w:val="28"/>
        </w:rPr>
      </w:pPr>
      <w:proofErr w:type="gramStart"/>
      <w:r w:rsidRPr="00AB7B01">
        <w:rPr>
          <w:rStyle w:val="FontStyle29"/>
          <w:sz w:val="28"/>
          <w:szCs w:val="28"/>
        </w:rPr>
        <w:t>В настоящее время в городском округе функционирует один универсальный рынок, площадью 14,3 тыс. кв. м. В целях обеспечения жителей городского округа сельскохозяйственной продукцией, непродовольственными и продовольственными товарами по ценам, доступным для всех категорий населения в 2016 году планируется ввод в эксплуатацию двух рынков общей площадью 12,6 тыс. кв. метров, в том числе сельскохозяйственного рынка с размещением порядка 200 торговых мест.</w:t>
      </w:r>
      <w:proofErr w:type="gramEnd"/>
    </w:p>
    <w:sectPr w:rsidR="006427F4" w:rsidRPr="00AB7B01" w:rsidSect="00AB7B0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B01"/>
    <w:rsid w:val="006427F4"/>
    <w:rsid w:val="00AB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B7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B7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B7B0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2016-03-24T07:08:00Z</dcterms:created>
  <dcterms:modified xsi:type="dcterms:W3CDTF">2016-03-24T07:08:00Z</dcterms:modified>
</cp:coreProperties>
</file>