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67" w:rsidRDefault="00BC6867" w:rsidP="00BC686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СУРГУТСКИЙ РАЙОН</w:t>
      </w:r>
    </w:p>
    <w:p w:rsidR="002B735A" w:rsidRPr="00BC6867" w:rsidRDefault="002B735A" w:rsidP="00BC6867">
      <w:pPr>
        <w:jc w:val="both"/>
        <w:rPr>
          <w:b/>
          <w:color w:val="000000"/>
          <w:sz w:val="28"/>
          <w:szCs w:val="28"/>
        </w:rPr>
      </w:pPr>
      <w:r w:rsidRPr="00BC6867">
        <w:rPr>
          <w:b/>
          <w:color w:val="000000"/>
          <w:sz w:val="28"/>
          <w:szCs w:val="28"/>
        </w:rPr>
        <w:t xml:space="preserve">Торговля </w:t>
      </w:r>
    </w:p>
    <w:p w:rsidR="002B735A" w:rsidRPr="00BC6867" w:rsidRDefault="00BC6867" w:rsidP="00BC68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B735A" w:rsidRPr="00BC6867">
        <w:rPr>
          <w:color w:val="000000"/>
          <w:sz w:val="28"/>
          <w:szCs w:val="28"/>
        </w:rPr>
        <w:t>борот розничной торговли по всем</w:t>
      </w:r>
      <w:r>
        <w:rPr>
          <w:color w:val="000000"/>
          <w:sz w:val="28"/>
          <w:szCs w:val="28"/>
        </w:rPr>
        <w:t xml:space="preserve"> </w:t>
      </w:r>
      <w:r w:rsidR="002B735A" w:rsidRPr="00BC6867">
        <w:rPr>
          <w:color w:val="000000"/>
          <w:sz w:val="28"/>
          <w:szCs w:val="28"/>
        </w:rPr>
        <w:t>каналам реализации составил</w:t>
      </w:r>
      <w:r>
        <w:rPr>
          <w:color w:val="000000"/>
          <w:sz w:val="28"/>
          <w:szCs w:val="28"/>
        </w:rPr>
        <w:t xml:space="preserve"> </w:t>
      </w:r>
      <w:r w:rsidR="002B735A" w:rsidRPr="00BC6867">
        <w:rPr>
          <w:color w:val="000000"/>
          <w:sz w:val="28"/>
          <w:szCs w:val="28"/>
        </w:rPr>
        <w:t>по оценке в</w:t>
      </w:r>
      <w:r>
        <w:rPr>
          <w:color w:val="000000"/>
          <w:sz w:val="28"/>
          <w:szCs w:val="28"/>
        </w:rPr>
        <w:t xml:space="preserve"> </w:t>
      </w:r>
      <w:r w:rsidR="002B735A" w:rsidRPr="00BC6867">
        <w:rPr>
          <w:color w:val="000000"/>
          <w:sz w:val="28"/>
          <w:szCs w:val="28"/>
        </w:rPr>
        <w:t>2015</w:t>
      </w:r>
      <w:r>
        <w:rPr>
          <w:color w:val="000000"/>
          <w:sz w:val="28"/>
          <w:szCs w:val="28"/>
        </w:rPr>
        <w:t xml:space="preserve"> </w:t>
      </w:r>
      <w:r w:rsidR="002B735A" w:rsidRPr="00BC6867">
        <w:rPr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</w:t>
      </w:r>
      <w:r w:rsidR="002B735A" w:rsidRPr="00BC6867">
        <w:rPr>
          <w:color w:val="000000"/>
          <w:sz w:val="28"/>
          <w:szCs w:val="28"/>
        </w:rPr>
        <w:t>16 071,5</w:t>
      </w:r>
      <w:r>
        <w:rPr>
          <w:color w:val="000000"/>
          <w:sz w:val="28"/>
          <w:szCs w:val="28"/>
        </w:rPr>
        <w:t xml:space="preserve"> </w:t>
      </w:r>
      <w:r w:rsidR="002B735A" w:rsidRPr="00BC6867">
        <w:rPr>
          <w:color w:val="000000"/>
          <w:sz w:val="28"/>
          <w:szCs w:val="28"/>
        </w:rPr>
        <w:t>млн. руб., что</w:t>
      </w:r>
      <w:r>
        <w:rPr>
          <w:color w:val="000000"/>
          <w:sz w:val="28"/>
          <w:szCs w:val="28"/>
        </w:rPr>
        <w:t xml:space="preserve"> </w:t>
      </w:r>
      <w:r w:rsidR="002B735A" w:rsidRPr="00BC6867">
        <w:rPr>
          <w:color w:val="000000"/>
          <w:sz w:val="28"/>
          <w:szCs w:val="28"/>
        </w:rPr>
        <w:t>на 2,1% больше, чем в 2014 году</w:t>
      </w:r>
      <w:r>
        <w:rPr>
          <w:color w:val="000000"/>
          <w:sz w:val="28"/>
          <w:szCs w:val="28"/>
        </w:rPr>
        <w:t xml:space="preserve"> </w:t>
      </w:r>
      <w:r w:rsidR="002B735A" w:rsidRPr="00BC6867">
        <w:rPr>
          <w:color w:val="000000"/>
          <w:sz w:val="28"/>
          <w:szCs w:val="28"/>
        </w:rPr>
        <w:t>в сопоставимых ценах.</w:t>
      </w:r>
    </w:p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r w:rsidRPr="00BC6867">
        <w:rPr>
          <w:color w:val="000000"/>
          <w:sz w:val="28"/>
          <w:szCs w:val="28"/>
        </w:rPr>
        <w:t>Динамика розничного товарооборота в 2014 и 2015 г.г.</w:t>
      </w:r>
    </w:p>
    <w:tbl>
      <w:tblPr>
        <w:tblW w:w="10075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3"/>
        <w:gridCol w:w="1221"/>
        <w:gridCol w:w="1701"/>
        <w:gridCol w:w="1679"/>
        <w:gridCol w:w="2551"/>
      </w:tblGrid>
      <w:tr w:rsidR="002B735A" w:rsidRPr="00BC6867" w:rsidTr="00BC6867">
        <w:trPr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BC6867">
              <w:rPr>
                <w:color w:val="000000"/>
                <w:sz w:val="28"/>
                <w:szCs w:val="28"/>
              </w:rPr>
              <w:t>изм</w:t>
            </w:r>
            <w:proofErr w:type="spellEnd"/>
            <w:r w:rsidRPr="00BC686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Темп роста, %</w:t>
            </w:r>
          </w:p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(в сопоставимых ценах)</w:t>
            </w:r>
          </w:p>
        </w:tc>
      </w:tr>
      <w:tr w:rsidR="002B735A" w:rsidRPr="00BC6867" w:rsidTr="00BC6867">
        <w:trPr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Оборот розничной торговли в текущих ценах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13 752,3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16 071,5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102,1</w:t>
            </w:r>
          </w:p>
        </w:tc>
      </w:tr>
      <w:tr w:rsidR="002B735A" w:rsidRPr="00BC6867" w:rsidTr="00BC6867">
        <w:trPr>
          <w:trHeight w:val="864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в том числе на одного жителя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BC6867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BC6867"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113,1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131,2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101,4</w:t>
            </w:r>
          </w:p>
        </w:tc>
      </w:tr>
    </w:tbl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r w:rsidRPr="00BC6867">
        <w:rPr>
          <w:color w:val="000000"/>
          <w:sz w:val="28"/>
          <w:szCs w:val="28"/>
        </w:rPr>
        <w:t>В расчете на одного жителя</w:t>
      </w:r>
      <w:r w:rsidR="00BC6867">
        <w:rPr>
          <w:color w:val="000000"/>
          <w:sz w:val="28"/>
          <w:szCs w:val="28"/>
        </w:rPr>
        <w:t xml:space="preserve"> </w:t>
      </w:r>
      <w:proofErr w:type="spellStart"/>
      <w:r w:rsidRPr="00BC6867">
        <w:rPr>
          <w:color w:val="000000"/>
          <w:sz w:val="28"/>
          <w:szCs w:val="28"/>
        </w:rPr>
        <w:t>Сургутского</w:t>
      </w:r>
      <w:proofErr w:type="spellEnd"/>
      <w:r w:rsidRPr="00BC6867">
        <w:rPr>
          <w:color w:val="000000"/>
          <w:sz w:val="28"/>
          <w:szCs w:val="28"/>
        </w:rPr>
        <w:t xml:space="preserve"> района оборот розничной торговли составил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по оценке 131,2 тыс. рублей, на 18,1 тыс. руб. больше, чем в 2014 году.</w:t>
      </w:r>
    </w:p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r w:rsidRPr="00BC6867">
        <w:rPr>
          <w:color w:val="000000"/>
          <w:sz w:val="28"/>
          <w:szCs w:val="28"/>
        </w:rPr>
        <w:t xml:space="preserve">По данным Территориального органа Федеральной службы государственной статистики по Ханты-Мансийскому автономному округу – </w:t>
      </w:r>
      <w:proofErr w:type="spellStart"/>
      <w:r w:rsidRPr="00BC6867">
        <w:rPr>
          <w:color w:val="000000"/>
          <w:sz w:val="28"/>
          <w:szCs w:val="28"/>
        </w:rPr>
        <w:t>Югре</w:t>
      </w:r>
      <w:proofErr w:type="spellEnd"/>
      <w:r w:rsidRPr="00BC6867">
        <w:rPr>
          <w:color w:val="000000"/>
          <w:sz w:val="28"/>
          <w:szCs w:val="28"/>
        </w:rPr>
        <w:t xml:space="preserve"> в январе-декабре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2015 года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выросли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цены на продовольственные товары,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прирост к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январю – декабрю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2014 года составил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21,48%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(январь –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декабрь 2014 года к январю-декабрю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2013 года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-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108,25%), на непродовольственные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товары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цены выросли на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10,52%.</w:t>
      </w:r>
    </w:p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r w:rsidRPr="00BC6867">
        <w:rPr>
          <w:color w:val="000000"/>
          <w:sz w:val="28"/>
          <w:szCs w:val="28"/>
        </w:rPr>
        <w:t>По данным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проводимого в поселениях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мониторинга розничных цен на отдельные виды социально-значимых продовольственных товаров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 xml:space="preserve">в среднем по </w:t>
      </w:r>
      <w:proofErr w:type="spellStart"/>
      <w:r w:rsidRPr="00BC6867">
        <w:rPr>
          <w:color w:val="000000"/>
          <w:sz w:val="28"/>
          <w:szCs w:val="28"/>
        </w:rPr>
        <w:t>Сургутскому</w:t>
      </w:r>
      <w:proofErr w:type="spellEnd"/>
      <w:r w:rsidRPr="00BC6867">
        <w:rPr>
          <w:color w:val="000000"/>
          <w:sz w:val="28"/>
          <w:szCs w:val="28"/>
        </w:rPr>
        <w:t xml:space="preserve"> району за 2015 год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по сравнению с 2014 годом (декабрь к декабрю)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наблюдался рост цен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практически по всем позициям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продовольственных товаров.</w:t>
      </w:r>
    </w:p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r w:rsidRPr="00BC6867">
        <w:rPr>
          <w:color w:val="000000"/>
          <w:sz w:val="28"/>
          <w:szCs w:val="28"/>
        </w:rPr>
        <w:t xml:space="preserve">Выросли цены на такие виды мяса как говядина и баранина (кроме бескостного мяса). Килограмм говядины подорожал на 9%, баранины – на 27%. В то же время килограмм свинины (кроме бескостного мяса) подешевел на 3,8%, кур (кроме </w:t>
      </w:r>
      <w:proofErr w:type="spellStart"/>
      <w:r w:rsidRPr="00BC6867">
        <w:rPr>
          <w:color w:val="000000"/>
          <w:sz w:val="28"/>
          <w:szCs w:val="28"/>
        </w:rPr>
        <w:t>окорочков</w:t>
      </w:r>
      <w:proofErr w:type="spellEnd"/>
      <w:r w:rsidRPr="00BC6867">
        <w:rPr>
          <w:color w:val="000000"/>
          <w:sz w:val="28"/>
          <w:szCs w:val="28"/>
        </w:rPr>
        <w:t>) – на 9,8%.</w:t>
      </w:r>
    </w:p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r w:rsidRPr="00BC6867">
        <w:rPr>
          <w:color w:val="000000"/>
          <w:sz w:val="28"/>
          <w:szCs w:val="28"/>
        </w:rPr>
        <w:t>На 2% подорожал килограм</w:t>
      </w:r>
      <w:r w:rsidR="00BC6867">
        <w:rPr>
          <w:color w:val="000000"/>
          <w:sz w:val="28"/>
          <w:szCs w:val="28"/>
        </w:rPr>
        <w:t>м рыбы мороженой неразделанной.</w:t>
      </w:r>
    </w:p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proofErr w:type="gramStart"/>
      <w:r w:rsidRPr="00BC6867">
        <w:rPr>
          <w:color w:val="000000"/>
          <w:sz w:val="28"/>
          <w:szCs w:val="28"/>
        </w:rPr>
        <w:t>Тенденция роста цен на муку и хлеб сохранилась, средняя цена на муку пшеничную высшего и первого сортов увеличились на 11,1%, на хлеб ржаной, ржано-пшеничный – на 5%, на хлеб и хлебобулочные изделия из муки 1,2 сорта – на 17,9%.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 xml:space="preserve">Средняя цена на рис шлифованный выросла на 31,1%, крупу </w:t>
      </w:r>
      <w:proofErr w:type="spellStart"/>
      <w:r w:rsidRPr="00BC6867">
        <w:rPr>
          <w:color w:val="000000"/>
          <w:sz w:val="28"/>
          <w:szCs w:val="28"/>
        </w:rPr>
        <w:t>гречневую-ядрицу</w:t>
      </w:r>
      <w:proofErr w:type="spellEnd"/>
      <w:r w:rsidRPr="00BC6867">
        <w:rPr>
          <w:color w:val="000000"/>
          <w:sz w:val="28"/>
          <w:szCs w:val="28"/>
        </w:rPr>
        <w:t xml:space="preserve"> на 11,1%, пшена – на 10,5%. </w:t>
      </w:r>
      <w:proofErr w:type="gramEnd"/>
    </w:p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r w:rsidRPr="00BC6867">
        <w:rPr>
          <w:color w:val="000000"/>
          <w:sz w:val="28"/>
          <w:szCs w:val="28"/>
        </w:rPr>
        <w:t>Выросли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средние цены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на масло сливочное (на 16%). Молоко цельное пастеризованное, стерилизованное жирностью 2,5-3,2%% подорожало на 7,8%. Цены на яйца куриные выросли на 4,4%.</w:t>
      </w:r>
    </w:p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r w:rsidRPr="00BC6867">
        <w:rPr>
          <w:color w:val="000000"/>
          <w:sz w:val="28"/>
          <w:szCs w:val="28"/>
        </w:rPr>
        <w:t>Снизились цены на основные виды овощей: капуста белокочанная свежая – на 14,8%,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морковь – на 6,2%, лук репчатый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 xml:space="preserve">- на 7,8%, картофель – на 11,1%. Средняя цена на яблоки выросла на 9,4%. </w:t>
      </w:r>
    </w:p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r w:rsidRPr="00BC6867">
        <w:rPr>
          <w:color w:val="000000"/>
          <w:sz w:val="28"/>
          <w:szCs w:val="28"/>
        </w:rPr>
        <w:t>Среди 24 наименований отдельных видов социально-значимых продовольственных товаров, на которые осуществляется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 xml:space="preserve">постоянный мониторинг цен в поселениях, по 18 позициям наблюдался рост, исключение составили свинина (кроме бескостного мяса), куры (кроме </w:t>
      </w:r>
      <w:proofErr w:type="spellStart"/>
      <w:r w:rsidRPr="00BC6867">
        <w:rPr>
          <w:color w:val="000000"/>
          <w:sz w:val="28"/>
          <w:szCs w:val="28"/>
        </w:rPr>
        <w:t>окорочков</w:t>
      </w:r>
      <w:proofErr w:type="spellEnd"/>
      <w:r w:rsidRPr="00BC6867">
        <w:rPr>
          <w:color w:val="000000"/>
          <w:sz w:val="28"/>
          <w:szCs w:val="28"/>
        </w:rPr>
        <w:t>), основные виды овощей, средние цены на которые снизились.</w:t>
      </w:r>
    </w:p>
    <w:p w:rsidR="002B735A" w:rsidRPr="00BC6867" w:rsidRDefault="002B735A" w:rsidP="00BC6867">
      <w:pPr>
        <w:jc w:val="both"/>
        <w:rPr>
          <w:color w:val="000000"/>
          <w:spacing w:val="-5"/>
          <w:sz w:val="28"/>
          <w:szCs w:val="28"/>
        </w:rPr>
      </w:pPr>
      <w:proofErr w:type="gramStart"/>
      <w:r w:rsidRPr="00BC6867">
        <w:rPr>
          <w:color w:val="000000"/>
          <w:sz w:val="28"/>
          <w:szCs w:val="28"/>
        </w:rPr>
        <w:lastRenderedPageBreak/>
        <w:t>В целях реализации Указа Президента Российской Федерации от 06.08.2014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 xml:space="preserve">№ 560 «О применении отдельных специальных экономических мер в целях обеспечения безопасности Российской Федерации», постановления Правительства Российской Федерации от 07.08.2014 № 778 «О мерах по реализации Указа Президента Российской Федерации от 06.08.2014 № 560 «О применении отдельных специальных экономических мер в целях обеспечения безопасности Российской Федерации» и распоряжения Губернатора </w:t>
      </w:r>
      <w:proofErr w:type="spellStart"/>
      <w:r w:rsidRPr="00BC6867">
        <w:rPr>
          <w:color w:val="000000"/>
          <w:sz w:val="28"/>
          <w:szCs w:val="28"/>
        </w:rPr>
        <w:t>ХМАО-Югры</w:t>
      </w:r>
      <w:proofErr w:type="spellEnd"/>
      <w:r w:rsidRPr="00BC6867">
        <w:rPr>
          <w:color w:val="000000"/>
          <w:sz w:val="28"/>
          <w:szCs w:val="28"/>
        </w:rPr>
        <w:t xml:space="preserve"> от 29.08.2014 № 476-р «О</w:t>
      </w:r>
      <w:proofErr w:type="gramEnd"/>
      <w:r w:rsidRPr="00BC6867">
        <w:rPr>
          <w:color w:val="000000"/>
          <w:sz w:val="28"/>
          <w:szCs w:val="28"/>
        </w:rPr>
        <w:t xml:space="preserve"> </w:t>
      </w:r>
      <w:proofErr w:type="gramStart"/>
      <w:r w:rsidRPr="00BC6867">
        <w:rPr>
          <w:color w:val="000000"/>
          <w:sz w:val="28"/>
          <w:szCs w:val="28"/>
        </w:rPr>
        <w:t xml:space="preserve">комплексе мер по обеспечению сбалансированности товарных рынков в Ханты-Мансийском автономном округе – </w:t>
      </w:r>
      <w:proofErr w:type="spellStart"/>
      <w:r w:rsidRPr="00BC6867">
        <w:rPr>
          <w:color w:val="000000"/>
          <w:sz w:val="28"/>
          <w:szCs w:val="28"/>
        </w:rPr>
        <w:t>Югре</w:t>
      </w:r>
      <w:proofErr w:type="spellEnd"/>
      <w:r w:rsidRPr="00BC6867">
        <w:rPr>
          <w:color w:val="000000"/>
          <w:sz w:val="28"/>
          <w:szCs w:val="28"/>
        </w:rPr>
        <w:t xml:space="preserve">», а также в целях своевременного выявления и предотвращения необоснованного повышения цен на социально значимые продовольственные товары на территории муниципального образования </w:t>
      </w:r>
      <w:proofErr w:type="spellStart"/>
      <w:r w:rsidRPr="00BC6867">
        <w:rPr>
          <w:color w:val="000000"/>
          <w:sz w:val="28"/>
          <w:szCs w:val="28"/>
        </w:rPr>
        <w:t>Сургутский</w:t>
      </w:r>
      <w:proofErr w:type="spellEnd"/>
      <w:r w:rsidRPr="00BC6867">
        <w:rPr>
          <w:color w:val="000000"/>
          <w:sz w:val="28"/>
          <w:szCs w:val="28"/>
        </w:rPr>
        <w:t xml:space="preserve"> район совместно с администрациями поселений района осуществляется </w:t>
      </w:r>
      <w:r w:rsidRPr="00BC6867">
        <w:rPr>
          <w:color w:val="000000"/>
          <w:spacing w:val="-5"/>
          <w:sz w:val="28"/>
          <w:szCs w:val="28"/>
        </w:rPr>
        <w:t>еженедельный мониторинг цен на фиксированный набор товаров по муниципальному образованию с пояснениями причин выявленного роста цен, еженедельный упреждающий мониторинг об</w:t>
      </w:r>
      <w:proofErr w:type="gramEnd"/>
      <w:r w:rsidRPr="00BC6867">
        <w:rPr>
          <w:color w:val="000000"/>
          <w:spacing w:val="-5"/>
          <w:sz w:val="28"/>
          <w:szCs w:val="28"/>
        </w:rPr>
        <w:t xml:space="preserve"> </w:t>
      </w:r>
      <w:proofErr w:type="gramStart"/>
      <w:r w:rsidRPr="00BC6867">
        <w:rPr>
          <w:color w:val="000000"/>
          <w:spacing w:val="-5"/>
          <w:sz w:val="28"/>
          <w:szCs w:val="28"/>
        </w:rPr>
        <w:t>уровне</w:t>
      </w:r>
      <w:proofErr w:type="gramEnd"/>
      <w:r w:rsidRPr="00BC6867">
        <w:rPr>
          <w:color w:val="000000"/>
          <w:spacing w:val="-5"/>
          <w:sz w:val="28"/>
          <w:szCs w:val="28"/>
        </w:rPr>
        <w:t xml:space="preserve"> оптово-отпускных цен в организациях оптовой торговли, еженедельное обследование по наличию в розничной продаже товаров отечественного и импортного производства.</w:t>
      </w:r>
    </w:p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r w:rsidRPr="00BC6867">
        <w:rPr>
          <w:color w:val="000000"/>
          <w:sz w:val="28"/>
          <w:szCs w:val="28"/>
        </w:rPr>
        <w:t>Также организована и функционирует «Горячая линия» для приема обращений граждан по поводу необоснованного роста цен.</w:t>
      </w:r>
    </w:p>
    <w:p w:rsidR="002B735A" w:rsidRPr="00BC6867" w:rsidRDefault="002B735A" w:rsidP="00BC6867">
      <w:pPr>
        <w:jc w:val="both"/>
        <w:rPr>
          <w:sz w:val="28"/>
          <w:szCs w:val="28"/>
        </w:rPr>
      </w:pPr>
      <w:r w:rsidRPr="00BC6867">
        <w:rPr>
          <w:sz w:val="28"/>
          <w:szCs w:val="28"/>
        </w:rPr>
        <w:t xml:space="preserve">В целях насыщения рынка товарами местных производителей, в том числе сельскохозяйственной продукцией, администрация </w:t>
      </w:r>
      <w:proofErr w:type="spellStart"/>
      <w:r w:rsidRPr="00BC6867">
        <w:rPr>
          <w:sz w:val="28"/>
          <w:szCs w:val="28"/>
        </w:rPr>
        <w:t>Сургутского</w:t>
      </w:r>
      <w:proofErr w:type="spellEnd"/>
      <w:r w:rsidRPr="00BC6867">
        <w:rPr>
          <w:sz w:val="28"/>
          <w:szCs w:val="28"/>
        </w:rPr>
        <w:t xml:space="preserve"> района проводит комплекс мер, направленных на</w:t>
      </w:r>
      <w:r w:rsidRPr="00BC6867">
        <w:rPr>
          <w:b/>
          <w:sz w:val="28"/>
          <w:szCs w:val="28"/>
        </w:rPr>
        <w:t xml:space="preserve"> </w:t>
      </w:r>
      <w:r w:rsidRPr="00BC6867">
        <w:rPr>
          <w:sz w:val="28"/>
          <w:szCs w:val="28"/>
        </w:rPr>
        <w:t>удовлетворение потребностей населения продуктами питания, стабилизации цен на товары и услуги.</w:t>
      </w:r>
    </w:p>
    <w:p w:rsidR="002B735A" w:rsidRPr="00BC6867" w:rsidRDefault="002B735A" w:rsidP="00BC6867">
      <w:pPr>
        <w:jc w:val="both"/>
        <w:rPr>
          <w:sz w:val="28"/>
          <w:szCs w:val="28"/>
        </w:rPr>
      </w:pPr>
      <w:r w:rsidRPr="00BC6867">
        <w:rPr>
          <w:spacing w:val="-5"/>
          <w:sz w:val="28"/>
          <w:szCs w:val="28"/>
        </w:rPr>
        <w:t>Одним из приоритетных направлений развития потребительского рынка</w:t>
      </w:r>
      <w:r w:rsidR="00BC6867">
        <w:rPr>
          <w:sz w:val="28"/>
          <w:szCs w:val="28"/>
        </w:rPr>
        <w:t xml:space="preserve"> </w:t>
      </w:r>
      <w:r w:rsidRPr="00BC6867">
        <w:rPr>
          <w:sz w:val="28"/>
          <w:szCs w:val="28"/>
        </w:rPr>
        <w:t xml:space="preserve">является развитие ярмарочной торговли. Администрация </w:t>
      </w:r>
      <w:proofErr w:type="spellStart"/>
      <w:r w:rsidRPr="00BC6867">
        <w:rPr>
          <w:sz w:val="28"/>
          <w:szCs w:val="28"/>
        </w:rPr>
        <w:t>Сургутского</w:t>
      </w:r>
      <w:proofErr w:type="spellEnd"/>
      <w:r w:rsidRPr="00BC6867">
        <w:rPr>
          <w:sz w:val="28"/>
          <w:szCs w:val="28"/>
        </w:rPr>
        <w:t xml:space="preserve"> района утвердила план развития ярмарочной торговли в муниципальном образовании </w:t>
      </w:r>
      <w:proofErr w:type="spellStart"/>
      <w:r w:rsidRPr="00BC6867">
        <w:rPr>
          <w:sz w:val="28"/>
          <w:szCs w:val="28"/>
        </w:rPr>
        <w:t>Сургутский</w:t>
      </w:r>
      <w:proofErr w:type="spellEnd"/>
      <w:r w:rsidRPr="00BC6867">
        <w:rPr>
          <w:sz w:val="28"/>
          <w:szCs w:val="28"/>
        </w:rPr>
        <w:t xml:space="preserve"> район на 2015 год.</w:t>
      </w:r>
    </w:p>
    <w:p w:rsidR="002B735A" w:rsidRPr="00BC6867" w:rsidRDefault="002B735A" w:rsidP="00BC68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6867">
        <w:rPr>
          <w:sz w:val="28"/>
          <w:szCs w:val="28"/>
        </w:rPr>
        <w:t xml:space="preserve">Совместно с поселениями </w:t>
      </w:r>
      <w:proofErr w:type="spellStart"/>
      <w:r w:rsidRPr="00BC6867">
        <w:rPr>
          <w:sz w:val="28"/>
          <w:szCs w:val="28"/>
        </w:rPr>
        <w:t>Сургутского</w:t>
      </w:r>
      <w:proofErr w:type="spellEnd"/>
      <w:r w:rsidRPr="00BC6867">
        <w:rPr>
          <w:sz w:val="28"/>
          <w:szCs w:val="28"/>
        </w:rPr>
        <w:t xml:space="preserve"> района определены площадки для проведения ярмарок праздничных, тематических и «выходного дня». Всего на территории района 16 площадок, в том числе 10 - постоянно действующих. </w:t>
      </w:r>
    </w:p>
    <w:p w:rsidR="002B735A" w:rsidRPr="00BC6867" w:rsidRDefault="002B735A" w:rsidP="00BC6867">
      <w:pPr>
        <w:jc w:val="both"/>
        <w:rPr>
          <w:sz w:val="28"/>
          <w:szCs w:val="28"/>
        </w:rPr>
      </w:pPr>
      <w:r w:rsidRPr="00BC6867">
        <w:rPr>
          <w:sz w:val="28"/>
          <w:szCs w:val="28"/>
        </w:rPr>
        <w:t>Согласно плану было предусмотрено проведение 52 ярмарок.</w:t>
      </w:r>
    </w:p>
    <w:p w:rsidR="002B735A" w:rsidRPr="00BC6867" w:rsidRDefault="002B735A" w:rsidP="00BC6867">
      <w:pPr>
        <w:jc w:val="both"/>
        <w:rPr>
          <w:sz w:val="28"/>
          <w:szCs w:val="28"/>
        </w:rPr>
      </w:pPr>
      <w:r w:rsidRPr="00BC6867">
        <w:rPr>
          <w:sz w:val="28"/>
          <w:szCs w:val="28"/>
        </w:rPr>
        <w:t>Фактически проведено 70 ярмарок, в том числе:</w:t>
      </w:r>
    </w:p>
    <w:p w:rsidR="002B735A" w:rsidRPr="00BC6867" w:rsidRDefault="002B735A" w:rsidP="00BC68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6867">
        <w:rPr>
          <w:sz w:val="28"/>
          <w:szCs w:val="28"/>
        </w:rPr>
        <w:t>18 -продовольственных ярмарок «выходного дня»;</w:t>
      </w:r>
    </w:p>
    <w:p w:rsidR="002B735A" w:rsidRPr="00BC6867" w:rsidRDefault="002B735A" w:rsidP="00BC68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6867">
        <w:rPr>
          <w:sz w:val="28"/>
          <w:szCs w:val="28"/>
        </w:rPr>
        <w:t xml:space="preserve">39–тематических и праздничных (День Победы, День защиты детей, День независимости России, День нефтяника, Слет рыбаков, охотников, оленеводов); </w:t>
      </w:r>
    </w:p>
    <w:p w:rsidR="002B735A" w:rsidRPr="00BC6867" w:rsidRDefault="002B735A" w:rsidP="00BC68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6867">
        <w:rPr>
          <w:sz w:val="28"/>
          <w:szCs w:val="28"/>
        </w:rPr>
        <w:t>7 –сельскохозяйственных ярмарок («Дары осени», «Овощной базар», предприятий агропромышленного комплекса Тюменской области).</w:t>
      </w:r>
    </w:p>
    <w:p w:rsidR="002B735A" w:rsidRPr="00BC6867" w:rsidRDefault="002B735A" w:rsidP="00BC68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6867">
        <w:rPr>
          <w:sz w:val="28"/>
          <w:szCs w:val="28"/>
        </w:rPr>
        <w:t>6-специализированных («Товары для дачи», «Скоро в школу», меховые и текстильные товары).</w:t>
      </w:r>
    </w:p>
    <w:p w:rsidR="002B735A" w:rsidRPr="00BC6867" w:rsidRDefault="002B735A" w:rsidP="00BC6867">
      <w:pPr>
        <w:jc w:val="both"/>
        <w:rPr>
          <w:rFonts w:eastAsia="Calibri"/>
          <w:sz w:val="28"/>
          <w:szCs w:val="28"/>
          <w:lang w:eastAsia="en-US"/>
        </w:rPr>
      </w:pPr>
      <w:r w:rsidRPr="00BC6867">
        <w:rPr>
          <w:b/>
          <w:sz w:val="28"/>
          <w:szCs w:val="28"/>
        </w:rPr>
        <w:t xml:space="preserve">- </w:t>
      </w:r>
      <w:r w:rsidRPr="00BC6867">
        <w:rPr>
          <w:sz w:val="28"/>
          <w:szCs w:val="28"/>
        </w:rPr>
        <w:t>Организовано 418 торговых мест, в том числе: 82- юридическими лицами, 270 мес</w:t>
      </w:r>
      <w:proofErr w:type="gramStart"/>
      <w:r w:rsidRPr="00BC6867">
        <w:rPr>
          <w:sz w:val="28"/>
          <w:szCs w:val="28"/>
        </w:rPr>
        <w:t>т-</w:t>
      </w:r>
      <w:proofErr w:type="gramEnd"/>
      <w:r w:rsidRPr="00BC6867">
        <w:rPr>
          <w:sz w:val="28"/>
          <w:szCs w:val="28"/>
        </w:rPr>
        <w:t xml:space="preserve"> индивидуальными предпринимателями, 66 </w:t>
      </w:r>
      <w:proofErr w:type="spellStart"/>
      <w:r w:rsidRPr="00BC6867">
        <w:rPr>
          <w:sz w:val="28"/>
          <w:szCs w:val="28"/>
        </w:rPr>
        <w:t>мест-крестьянско-фермерскими</w:t>
      </w:r>
      <w:proofErr w:type="spellEnd"/>
      <w:r w:rsidRPr="00BC6867">
        <w:rPr>
          <w:sz w:val="28"/>
          <w:szCs w:val="28"/>
        </w:rPr>
        <w:t xml:space="preserve"> хозяйствами.</w:t>
      </w:r>
    </w:p>
    <w:p w:rsidR="002B735A" w:rsidRPr="00BC6867" w:rsidRDefault="002B735A" w:rsidP="00BC6867">
      <w:pPr>
        <w:jc w:val="both"/>
        <w:rPr>
          <w:sz w:val="28"/>
          <w:szCs w:val="28"/>
        </w:rPr>
      </w:pPr>
      <w:r w:rsidRPr="00BC6867">
        <w:rPr>
          <w:sz w:val="28"/>
          <w:szCs w:val="28"/>
        </w:rPr>
        <w:t xml:space="preserve">Систематически проводится мониторинг ярмарочных мероприятий по количеству участников, организации торговых мест, специализации, реализации продукции, пользующейся спросом у населения. Впервые активными участниками проводимых ярмарок стали предприятия Белоярской птицефабрики «Обь-регион», ООО «Мясокомбинат </w:t>
      </w:r>
      <w:proofErr w:type="spellStart"/>
      <w:r w:rsidRPr="00BC6867">
        <w:rPr>
          <w:sz w:val="28"/>
          <w:szCs w:val="28"/>
        </w:rPr>
        <w:t>Сургутский</w:t>
      </w:r>
      <w:proofErr w:type="spellEnd"/>
      <w:r w:rsidRPr="00BC6867">
        <w:rPr>
          <w:sz w:val="28"/>
          <w:szCs w:val="28"/>
        </w:rPr>
        <w:t xml:space="preserve">», фермеры </w:t>
      </w:r>
      <w:proofErr w:type="spellStart"/>
      <w:r w:rsidRPr="00BC6867">
        <w:rPr>
          <w:sz w:val="28"/>
          <w:szCs w:val="28"/>
        </w:rPr>
        <w:t>Сургутского</w:t>
      </w:r>
      <w:proofErr w:type="spellEnd"/>
      <w:r w:rsidRPr="00BC6867">
        <w:rPr>
          <w:sz w:val="28"/>
          <w:szCs w:val="28"/>
        </w:rPr>
        <w:t xml:space="preserve"> района, предприятия по </w:t>
      </w:r>
      <w:r w:rsidRPr="00BC6867">
        <w:rPr>
          <w:sz w:val="28"/>
          <w:szCs w:val="28"/>
        </w:rPr>
        <w:lastRenderedPageBreak/>
        <w:t>реализации овощной и цветочной рассады, товаров для дачи, кур-несушек.</w:t>
      </w:r>
      <w:r w:rsidR="00BC6867">
        <w:rPr>
          <w:sz w:val="28"/>
          <w:szCs w:val="28"/>
        </w:rPr>
        <w:t xml:space="preserve"> </w:t>
      </w:r>
      <w:r w:rsidRPr="00BC6867">
        <w:rPr>
          <w:sz w:val="28"/>
          <w:szCs w:val="28"/>
        </w:rPr>
        <w:t>Всегда разнообразную и качественную продукцию представляют предприятия агропромышленного комплекса Тюменской</w:t>
      </w:r>
      <w:r w:rsidR="00BC6867">
        <w:rPr>
          <w:sz w:val="28"/>
          <w:szCs w:val="28"/>
        </w:rPr>
        <w:t xml:space="preserve"> области.</w:t>
      </w:r>
    </w:p>
    <w:p w:rsidR="002B735A" w:rsidRPr="00BC6867" w:rsidRDefault="002B735A" w:rsidP="00BC68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6867">
        <w:rPr>
          <w:sz w:val="28"/>
          <w:szCs w:val="28"/>
        </w:rPr>
        <w:t>Общий товарооборот на ярмарках, организованных в 2015 год</w:t>
      </w:r>
      <w:r w:rsidR="00BC6867">
        <w:rPr>
          <w:sz w:val="28"/>
          <w:szCs w:val="28"/>
        </w:rPr>
        <w:t>у составил 15 млн.570 тыс. руб.</w:t>
      </w:r>
    </w:p>
    <w:p w:rsidR="002B735A" w:rsidRPr="00BC6867" w:rsidRDefault="002B735A" w:rsidP="00BC6867">
      <w:pPr>
        <w:jc w:val="both"/>
        <w:rPr>
          <w:rFonts w:eastAsia="Calibri"/>
          <w:sz w:val="28"/>
          <w:szCs w:val="28"/>
          <w:lang w:eastAsia="en-US"/>
        </w:rPr>
      </w:pPr>
      <w:r w:rsidRPr="00BC6867">
        <w:rPr>
          <w:sz w:val="28"/>
          <w:szCs w:val="28"/>
        </w:rPr>
        <w:t xml:space="preserve">Активно развивается торговая сеть по реализации сельхозпродукции, в том числе мобильная торговая сеть. </w:t>
      </w:r>
    </w:p>
    <w:p w:rsidR="002B735A" w:rsidRPr="00BC6867" w:rsidRDefault="002B735A" w:rsidP="00BC6867">
      <w:pPr>
        <w:jc w:val="both"/>
        <w:rPr>
          <w:sz w:val="28"/>
          <w:szCs w:val="28"/>
        </w:rPr>
      </w:pPr>
      <w:r w:rsidRPr="00BC6867">
        <w:rPr>
          <w:sz w:val="28"/>
          <w:szCs w:val="28"/>
        </w:rPr>
        <w:t xml:space="preserve">В настоящее время по реализации продукции местных </w:t>
      </w:r>
      <w:proofErr w:type="spellStart"/>
      <w:r w:rsidRPr="00BC6867">
        <w:rPr>
          <w:sz w:val="28"/>
          <w:szCs w:val="28"/>
        </w:rPr>
        <w:t>товаро</w:t>
      </w:r>
      <w:proofErr w:type="spellEnd"/>
      <w:r w:rsidRPr="00BC6867">
        <w:rPr>
          <w:sz w:val="28"/>
          <w:szCs w:val="28"/>
        </w:rPr>
        <w:t>- и сельхоз производителей в районе функционируют 24 торговые точки, в том числе – 17 передвижных торговых объектов. Торговая сеть фермеров района представлена</w:t>
      </w:r>
      <w:r w:rsidR="00BC6867">
        <w:rPr>
          <w:sz w:val="28"/>
          <w:szCs w:val="28"/>
        </w:rPr>
        <w:t xml:space="preserve"> </w:t>
      </w:r>
      <w:r w:rsidRPr="00BC6867">
        <w:rPr>
          <w:sz w:val="28"/>
          <w:szCs w:val="28"/>
        </w:rPr>
        <w:t>9 объектами.</w:t>
      </w:r>
    </w:p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r w:rsidRPr="00BC6867">
        <w:rPr>
          <w:color w:val="000000"/>
          <w:sz w:val="28"/>
          <w:szCs w:val="28"/>
        </w:rPr>
        <w:t xml:space="preserve">Материально-техническая база розничной торговли </w:t>
      </w:r>
      <w:proofErr w:type="spellStart"/>
      <w:r w:rsidRPr="00BC6867">
        <w:rPr>
          <w:color w:val="000000"/>
          <w:sz w:val="28"/>
          <w:szCs w:val="28"/>
        </w:rPr>
        <w:t>Сургутского</w:t>
      </w:r>
      <w:proofErr w:type="spellEnd"/>
      <w:r w:rsidRPr="00BC6867">
        <w:rPr>
          <w:color w:val="000000"/>
          <w:sz w:val="28"/>
          <w:szCs w:val="28"/>
        </w:rPr>
        <w:t xml:space="preserve"> района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на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начало 2016 года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представлена 18 торговыми комплексами площадью 30 255 кв</w:t>
      </w:r>
      <w:proofErr w:type="gramStart"/>
      <w:r w:rsidRPr="00BC6867">
        <w:rPr>
          <w:color w:val="000000"/>
          <w:sz w:val="28"/>
          <w:szCs w:val="28"/>
        </w:rPr>
        <w:t>.м</w:t>
      </w:r>
      <w:proofErr w:type="gramEnd"/>
      <w:r w:rsidRPr="00BC6867">
        <w:rPr>
          <w:color w:val="000000"/>
          <w:sz w:val="28"/>
          <w:szCs w:val="28"/>
        </w:rPr>
        <w:t>, 260 магазинами площадью 37 050 кв.м, 153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объектами нестационарной торговой сети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торговой площадью 2 879 кв. м, в том числе 17 - передвижные объекты.</w:t>
      </w:r>
    </w:p>
    <w:p w:rsidR="002B735A" w:rsidRPr="00BC6867" w:rsidRDefault="002B735A" w:rsidP="00BC6867">
      <w:pPr>
        <w:jc w:val="both"/>
        <w:rPr>
          <w:sz w:val="28"/>
          <w:szCs w:val="28"/>
        </w:rPr>
      </w:pPr>
      <w:r w:rsidRPr="00BC6867">
        <w:rPr>
          <w:sz w:val="28"/>
          <w:szCs w:val="28"/>
        </w:rPr>
        <w:t>Обеспеченность жителей района торговой площадью выросла по сравнению с 2014 годом и</w:t>
      </w:r>
      <w:r w:rsidR="00BC6867">
        <w:rPr>
          <w:sz w:val="28"/>
          <w:szCs w:val="28"/>
        </w:rPr>
        <w:t xml:space="preserve"> </w:t>
      </w:r>
      <w:r w:rsidRPr="00BC6867">
        <w:rPr>
          <w:sz w:val="28"/>
          <w:szCs w:val="28"/>
        </w:rPr>
        <w:t>составила</w:t>
      </w:r>
      <w:r w:rsidR="00BC6867">
        <w:rPr>
          <w:sz w:val="28"/>
          <w:szCs w:val="28"/>
        </w:rPr>
        <w:t xml:space="preserve"> </w:t>
      </w:r>
      <w:r w:rsidRPr="00BC6867">
        <w:rPr>
          <w:sz w:val="28"/>
          <w:szCs w:val="28"/>
        </w:rPr>
        <w:t>в</w:t>
      </w:r>
      <w:r w:rsidR="00BC6867">
        <w:rPr>
          <w:sz w:val="28"/>
          <w:szCs w:val="28"/>
        </w:rPr>
        <w:t xml:space="preserve"> </w:t>
      </w:r>
      <w:r w:rsidRPr="00BC6867">
        <w:rPr>
          <w:sz w:val="28"/>
          <w:szCs w:val="28"/>
        </w:rPr>
        <w:t>2015 году</w:t>
      </w:r>
      <w:r w:rsidR="00BC6867">
        <w:rPr>
          <w:sz w:val="28"/>
          <w:szCs w:val="28"/>
        </w:rPr>
        <w:t xml:space="preserve"> </w:t>
      </w:r>
      <w:r w:rsidRPr="00BC6867">
        <w:rPr>
          <w:sz w:val="28"/>
          <w:szCs w:val="28"/>
        </w:rPr>
        <w:t>573 кв. метра торговой площади</w:t>
      </w:r>
      <w:r w:rsidR="00BC6867">
        <w:rPr>
          <w:sz w:val="28"/>
          <w:szCs w:val="28"/>
        </w:rPr>
        <w:t xml:space="preserve"> </w:t>
      </w:r>
      <w:r w:rsidRPr="00BC6867">
        <w:rPr>
          <w:sz w:val="28"/>
          <w:szCs w:val="28"/>
        </w:rPr>
        <w:t>на 1000 жителей или 152,4% от норматива.</w:t>
      </w:r>
    </w:p>
    <w:p w:rsidR="002B735A" w:rsidRPr="00BC6867" w:rsidRDefault="002B735A" w:rsidP="00BC6867">
      <w:pPr>
        <w:jc w:val="both"/>
        <w:rPr>
          <w:b/>
          <w:color w:val="000000"/>
          <w:sz w:val="28"/>
          <w:szCs w:val="28"/>
        </w:rPr>
      </w:pPr>
      <w:r w:rsidRPr="00BC6867">
        <w:rPr>
          <w:b/>
          <w:color w:val="000000"/>
          <w:sz w:val="28"/>
          <w:szCs w:val="28"/>
        </w:rPr>
        <w:t>Общественное питание</w:t>
      </w:r>
    </w:p>
    <w:p w:rsidR="00BC6867" w:rsidRDefault="002B735A" w:rsidP="00BC6867">
      <w:pPr>
        <w:jc w:val="both"/>
        <w:rPr>
          <w:color w:val="000000"/>
          <w:sz w:val="28"/>
          <w:szCs w:val="28"/>
        </w:rPr>
      </w:pPr>
      <w:r w:rsidRPr="00BC6867">
        <w:rPr>
          <w:color w:val="000000"/>
          <w:sz w:val="28"/>
          <w:szCs w:val="28"/>
        </w:rPr>
        <w:t>Оборот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общественного питания в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отчётном периоде по оценке сложился на уровне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2748,8 млн. руб., или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102% в сопоставимых ценах. На одного жителя района стоимость проданной населению собственной кулинарной продукции, а также покупных товаров, проданных для потребления на месте без кулинарной обработки,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по оценке составляет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22,4 тыс. руб.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(2014 год – 19,4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тыс. руб.).</w:t>
      </w:r>
    </w:p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r w:rsidRPr="00BC6867">
        <w:rPr>
          <w:color w:val="000000"/>
          <w:sz w:val="28"/>
          <w:szCs w:val="28"/>
        </w:rPr>
        <w:t>Динамика оборота общественного питания в 2014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и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2015 г.г.</w:t>
      </w:r>
    </w:p>
    <w:tbl>
      <w:tblPr>
        <w:tblW w:w="10259" w:type="dxa"/>
        <w:jc w:val="center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8"/>
        <w:gridCol w:w="1276"/>
        <w:gridCol w:w="1673"/>
        <w:gridCol w:w="1870"/>
        <w:gridCol w:w="2152"/>
      </w:tblGrid>
      <w:tr w:rsidR="002B735A" w:rsidRPr="00BC6867" w:rsidTr="002B735A">
        <w:trPr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A" w:rsidRPr="00BC6867" w:rsidRDefault="002B735A" w:rsidP="00BC6867">
            <w:pPr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BC6867">
              <w:rPr>
                <w:color w:val="000000"/>
                <w:sz w:val="28"/>
                <w:szCs w:val="28"/>
              </w:rPr>
              <w:t>изм</w:t>
            </w:r>
            <w:proofErr w:type="spellEnd"/>
            <w:r w:rsidRPr="00BC686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Темп роста, %</w:t>
            </w:r>
          </w:p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(в сопоставимых ценах)</w:t>
            </w:r>
          </w:p>
        </w:tc>
      </w:tr>
      <w:tr w:rsidR="002B735A" w:rsidRPr="00BC6867" w:rsidTr="002B735A">
        <w:trPr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Оборот общественного питания, в текущих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млн. руб.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2354,5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2748,8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102</w:t>
            </w:r>
          </w:p>
        </w:tc>
      </w:tr>
      <w:tr w:rsidR="002B735A" w:rsidRPr="00BC6867" w:rsidTr="002B735A">
        <w:trPr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в том числе на одного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BC6867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BC6867"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22,4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101,3</w:t>
            </w:r>
          </w:p>
        </w:tc>
      </w:tr>
    </w:tbl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r w:rsidRPr="00BC6867">
        <w:rPr>
          <w:color w:val="000000"/>
          <w:sz w:val="28"/>
          <w:szCs w:val="28"/>
        </w:rPr>
        <w:t>Сеть предприятий общественного питания увеличилась на 7 объектов, количество посадочных мест возросло на 101 пос. место, отмечается снижение потока посетителей, наиболее востребованы предприятия с невысоким уровнем цен (предприятия быстрого питания) и предприятия придорожного сервиса.</w:t>
      </w:r>
    </w:p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r w:rsidRPr="00BC6867">
        <w:rPr>
          <w:color w:val="000000"/>
          <w:sz w:val="28"/>
          <w:szCs w:val="28"/>
        </w:rPr>
        <w:t xml:space="preserve">На территории </w:t>
      </w:r>
      <w:proofErr w:type="spellStart"/>
      <w:r w:rsidRPr="00BC6867">
        <w:rPr>
          <w:color w:val="000000"/>
          <w:sz w:val="28"/>
          <w:szCs w:val="28"/>
        </w:rPr>
        <w:t>Сургутского</w:t>
      </w:r>
      <w:proofErr w:type="spellEnd"/>
      <w:r w:rsidRPr="00BC6867">
        <w:rPr>
          <w:color w:val="000000"/>
          <w:sz w:val="28"/>
          <w:szCs w:val="28"/>
        </w:rPr>
        <w:t xml:space="preserve"> района функционирует 71 предприятие общественного питания общедоступной сети на 3 305 мест (19,1% от общей доли предприятий общепита и 24,6% от общего числа посадочных мест). Кроме того, 73% общей доли предприятий общественного питания занимают столовые при промышленных предприятиях, 7,8% - при учебных заведениях.</w:t>
      </w:r>
    </w:p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r w:rsidRPr="00BC6867">
        <w:rPr>
          <w:color w:val="000000"/>
          <w:sz w:val="28"/>
          <w:szCs w:val="28"/>
        </w:rPr>
        <w:t xml:space="preserve">Сеть предприятий общественного питания </w:t>
      </w:r>
      <w:proofErr w:type="spellStart"/>
      <w:r w:rsidRPr="00BC6867">
        <w:rPr>
          <w:color w:val="000000"/>
          <w:sz w:val="28"/>
          <w:szCs w:val="28"/>
        </w:rPr>
        <w:t>Сургутского</w:t>
      </w:r>
      <w:proofErr w:type="spellEnd"/>
      <w:r w:rsidRPr="00BC6867">
        <w:rPr>
          <w:color w:val="000000"/>
          <w:sz w:val="28"/>
          <w:szCs w:val="28"/>
        </w:rPr>
        <w:t xml:space="preserve"> района представлена на начало 2016 года 371 предприятиями на 13 448 посадочных мест.</w:t>
      </w:r>
    </w:p>
    <w:p w:rsidR="002B735A" w:rsidRPr="00BC6867" w:rsidRDefault="002B735A" w:rsidP="00BC6867">
      <w:pPr>
        <w:jc w:val="both"/>
        <w:rPr>
          <w:sz w:val="28"/>
          <w:szCs w:val="28"/>
        </w:rPr>
      </w:pPr>
      <w:r w:rsidRPr="00BC6867">
        <w:rPr>
          <w:sz w:val="28"/>
          <w:szCs w:val="28"/>
        </w:rPr>
        <w:lastRenderedPageBreak/>
        <w:t>Обеспеченность населения предприятиями общественного питания общедоступной сети</w:t>
      </w:r>
      <w:r w:rsidR="00BC6867">
        <w:rPr>
          <w:sz w:val="28"/>
          <w:szCs w:val="28"/>
        </w:rPr>
        <w:t xml:space="preserve"> </w:t>
      </w:r>
      <w:r w:rsidRPr="00BC6867">
        <w:rPr>
          <w:sz w:val="28"/>
          <w:szCs w:val="28"/>
        </w:rPr>
        <w:t>составила в отчетном периоде 67,5%, что больше показателя прошлого года (на начало 2015 года – 65,9%).</w:t>
      </w:r>
    </w:p>
    <w:p w:rsidR="002B735A" w:rsidRPr="00BC6867" w:rsidRDefault="002B735A" w:rsidP="00BC6867">
      <w:pPr>
        <w:jc w:val="both"/>
        <w:rPr>
          <w:b/>
          <w:color w:val="000000"/>
          <w:sz w:val="28"/>
          <w:szCs w:val="28"/>
        </w:rPr>
      </w:pPr>
      <w:r w:rsidRPr="00BC6867">
        <w:rPr>
          <w:b/>
          <w:color w:val="000000"/>
          <w:sz w:val="28"/>
          <w:szCs w:val="28"/>
        </w:rPr>
        <w:t>Платные услуги населению</w:t>
      </w:r>
    </w:p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proofErr w:type="gramStart"/>
      <w:r w:rsidRPr="00BC6867">
        <w:rPr>
          <w:color w:val="000000"/>
          <w:sz w:val="28"/>
          <w:szCs w:val="28"/>
        </w:rPr>
        <w:t>Объем платных услуг за отчетный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период составил по оценке в сопоставимых ценах 101% к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уровню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2014 года, в действующих ценах населению района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по оценке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оказано услуг на сумму около 3677,2 млн. руб. В расчете на душу населения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оказано платных услуг на сумму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30,02 тыс. рублей,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на 3,77 тыс. рублей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больше, чем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в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2014 году.</w:t>
      </w:r>
      <w:proofErr w:type="gramEnd"/>
    </w:p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r w:rsidRPr="00BC6867">
        <w:rPr>
          <w:color w:val="000000"/>
          <w:sz w:val="28"/>
          <w:szCs w:val="28"/>
        </w:rPr>
        <w:t>Динамика показателей платных услуг населению за 2014 и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2015 г.г.</w:t>
      </w:r>
    </w:p>
    <w:tbl>
      <w:tblPr>
        <w:tblW w:w="10321" w:type="dxa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3"/>
        <w:gridCol w:w="1358"/>
        <w:gridCol w:w="1658"/>
        <w:gridCol w:w="1701"/>
        <w:gridCol w:w="2551"/>
      </w:tblGrid>
      <w:tr w:rsidR="002B735A" w:rsidRPr="00BC6867" w:rsidTr="00BC686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BC6867">
              <w:rPr>
                <w:color w:val="000000"/>
                <w:sz w:val="28"/>
                <w:szCs w:val="28"/>
              </w:rPr>
              <w:t>изм</w:t>
            </w:r>
            <w:proofErr w:type="spellEnd"/>
            <w:r w:rsidRPr="00BC686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Темп роста, %</w:t>
            </w:r>
          </w:p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(в сопоставимых ценах)</w:t>
            </w:r>
          </w:p>
        </w:tc>
      </w:tr>
      <w:tr w:rsidR="002B735A" w:rsidRPr="00BC6867" w:rsidTr="00BC686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млн. руб.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3192,0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3677,2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101</w:t>
            </w:r>
          </w:p>
        </w:tc>
      </w:tr>
      <w:tr w:rsidR="002B735A" w:rsidRPr="00BC6867" w:rsidTr="00BC686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в т.ч. объем бытовых услуг населению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млн. руб.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134,1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101</w:t>
            </w:r>
          </w:p>
        </w:tc>
      </w:tr>
      <w:tr w:rsidR="002B735A" w:rsidRPr="00BC6867" w:rsidTr="00BC686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- объем платных услуг на одного жителя;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BC6867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BC6867"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30,02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100,3</w:t>
            </w:r>
          </w:p>
        </w:tc>
      </w:tr>
      <w:tr w:rsidR="002B735A" w:rsidRPr="00BC6867" w:rsidTr="00BC686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 xml:space="preserve">- объем бытовых услуг на одного жителя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BC6867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BC6867"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1,261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5A" w:rsidRPr="00BC6867" w:rsidRDefault="002B735A" w:rsidP="00BC6867">
            <w:pPr>
              <w:jc w:val="center"/>
              <w:rPr>
                <w:color w:val="000000"/>
                <w:sz w:val="28"/>
                <w:szCs w:val="28"/>
              </w:rPr>
            </w:pPr>
            <w:r w:rsidRPr="00BC6867">
              <w:rPr>
                <w:color w:val="000000"/>
                <w:sz w:val="28"/>
                <w:szCs w:val="28"/>
              </w:rPr>
              <w:t>100,3</w:t>
            </w:r>
          </w:p>
        </w:tc>
      </w:tr>
    </w:tbl>
    <w:p w:rsidR="002B735A" w:rsidRPr="00BC6867" w:rsidRDefault="002B735A" w:rsidP="00BC6867">
      <w:pPr>
        <w:jc w:val="both"/>
        <w:rPr>
          <w:bCs/>
          <w:color w:val="000000"/>
          <w:sz w:val="28"/>
          <w:szCs w:val="28"/>
        </w:rPr>
      </w:pPr>
      <w:r w:rsidRPr="00BC6867">
        <w:rPr>
          <w:bCs/>
          <w:color w:val="000000"/>
          <w:sz w:val="28"/>
          <w:szCs w:val="28"/>
        </w:rPr>
        <w:t xml:space="preserve">Объем бытовых услуг населению в отчетный период составил по оценке 154,4 млн. руб., или 101% </w:t>
      </w:r>
      <w:r w:rsidRPr="00BC6867">
        <w:rPr>
          <w:color w:val="000000"/>
          <w:sz w:val="28"/>
          <w:szCs w:val="28"/>
        </w:rPr>
        <w:t xml:space="preserve">в сопоставимых ценах </w:t>
      </w:r>
      <w:r w:rsidRPr="00BC6867">
        <w:rPr>
          <w:bCs/>
          <w:color w:val="000000"/>
          <w:sz w:val="28"/>
          <w:szCs w:val="28"/>
        </w:rPr>
        <w:t>к соответствующему периоду прошлого года, это 1 261 руб. на душу населения. Удельный вес данного вида услуг ниже уровня прошлого года и в общем объеме реализации платных услуг составил</w:t>
      </w:r>
      <w:r w:rsidR="00BC6867">
        <w:rPr>
          <w:bCs/>
          <w:color w:val="000000"/>
          <w:sz w:val="28"/>
          <w:szCs w:val="28"/>
        </w:rPr>
        <w:t xml:space="preserve"> </w:t>
      </w:r>
      <w:r w:rsidRPr="00BC6867">
        <w:rPr>
          <w:bCs/>
          <w:color w:val="000000"/>
          <w:sz w:val="28"/>
          <w:szCs w:val="28"/>
        </w:rPr>
        <w:t>4,2%.</w:t>
      </w:r>
    </w:p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r w:rsidRPr="00BC6867">
        <w:rPr>
          <w:color w:val="000000"/>
          <w:sz w:val="28"/>
          <w:szCs w:val="28"/>
        </w:rPr>
        <w:t>Индекс цен и тарифов на услуги населения в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январе –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декабре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2015 года по отношению к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2014 году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вырос (январь -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декабрь 2014 года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к январю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–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декабрю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2013 года – 107,14%)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и составил 114,06%.</w:t>
      </w:r>
    </w:p>
    <w:p w:rsidR="002B735A" w:rsidRPr="00BC6867" w:rsidRDefault="002B735A" w:rsidP="00BC6867">
      <w:pPr>
        <w:jc w:val="both"/>
        <w:rPr>
          <w:color w:val="000000"/>
          <w:sz w:val="28"/>
          <w:szCs w:val="28"/>
        </w:rPr>
      </w:pPr>
      <w:proofErr w:type="gramStart"/>
      <w:r w:rsidRPr="00BC6867">
        <w:rPr>
          <w:color w:val="000000"/>
          <w:sz w:val="28"/>
          <w:szCs w:val="28"/>
        </w:rPr>
        <w:t>Среднегодовой индекс потребительских цен на товары и услуги в 2015 году сложился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в автономном округе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на уровне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114,46% (106,08%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 xml:space="preserve">- в 2014 году) в пределах прогнозных показателей Минэкономразвития Российской Федерации и утвержденных на 2015 год в Прогнозе социально-экономического развития Ханты-Мансийского автономного округа – </w:t>
      </w:r>
      <w:proofErr w:type="spellStart"/>
      <w:r w:rsidRPr="00BC6867">
        <w:rPr>
          <w:color w:val="000000"/>
          <w:sz w:val="28"/>
          <w:szCs w:val="28"/>
        </w:rPr>
        <w:t>Югры</w:t>
      </w:r>
      <w:proofErr w:type="spellEnd"/>
      <w:r w:rsidRPr="00BC6867">
        <w:rPr>
          <w:color w:val="000000"/>
          <w:sz w:val="28"/>
          <w:szCs w:val="28"/>
        </w:rPr>
        <w:t xml:space="preserve"> на 2016 год и на плановый период 2017 и</w:t>
      </w:r>
      <w:r w:rsidR="00BC6867">
        <w:rPr>
          <w:color w:val="000000"/>
          <w:sz w:val="28"/>
          <w:szCs w:val="28"/>
        </w:rPr>
        <w:t xml:space="preserve"> </w:t>
      </w:r>
      <w:r w:rsidRPr="00BC6867">
        <w:rPr>
          <w:color w:val="000000"/>
          <w:sz w:val="28"/>
          <w:szCs w:val="28"/>
        </w:rPr>
        <w:t>2018 годы.</w:t>
      </w:r>
      <w:proofErr w:type="gramEnd"/>
    </w:p>
    <w:p w:rsidR="002B735A" w:rsidRPr="00BC6867" w:rsidRDefault="002B735A" w:rsidP="00BC6867">
      <w:pPr>
        <w:jc w:val="both"/>
        <w:rPr>
          <w:b/>
          <w:color w:val="000000"/>
          <w:sz w:val="28"/>
          <w:szCs w:val="28"/>
        </w:rPr>
      </w:pPr>
      <w:r w:rsidRPr="00BC6867">
        <w:rPr>
          <w:b/>
          <w:color w:val="000000"/>
          <w:sz w:val="28"/>
          <w:szCs w:val="28"/>
        </w:rPr>
        <w:t>Деятельность по защите прав потребителей</w:t>
      </w:r>
    </w:p>
    <w:p w:rsidR="002B735A" w:rsidRPr="00BC6867" w:rsidRDefault="002B735A" w:rsidP="00BC6867">
      <w:pPr>
        <w:jc w:val="both"/>
        <w:rPr>
          <w:sz w:val="28"/>
          <w:szCs w:val="28"/>
        </w:rPr>
      </w:pPr>
      <w:r w:rsidRPr="00BC6867">
        <w:rPr>
          <w:sz w:val="28"/>
          <w:szCs w:val="28"/>
        </w:rPr>
        <w:t>Одним из факторов, способствующих повышению качества обслуживания на потребительском рынке района, является активная работа в сфере защиты прав потребителей.</w:t>
      </w:r>
    </w:p>
    <w:p w:rsidR="002B735A" w:rsidRPr="00BC6867" w:rsidRDefault="002B735A" w:rsidP="00BC6867">
      <w:pPr>
        <w:jc w:val="both"/>
        <w:rPr>
          <w:sz w:val="28"/>
          <w:szCs w:val="28"/>
        </w:rPr>
      </w:pPr>
      <w:r w:rsidRPr="00BC6867">
        <w:rPr>
          <w:sz w:val="28"/>
          <w:szCs w:val="28"/>
        </w:rPr>
        <w:t>В 2015 году за помощью к специалистам по защите прав потребителей обратилось 352 жителя района, что на 10% меньше предыдущего года. Всем обратившимся гражданам даны разъяснения норм действующего законодательства, предоставлены консультации, оказана помощь в разрешении конфликтных ситуаций.</w:t>
      </w:r>
    </w:p>
    <w:p w:rsidR="002B735A" w:rsidRPr="00BC6867" w:rsidRDefault="002B735A" w:rsidP="00BC6867">
      <w:pPr>
        <w:jc w:val="both"/>
        <w:rPr>
          <w:sz w:val="28"/>
          <w:szCs w:val="28"/>
        </w:rPr>
      </w:pPr>
      <w:r w:rsidRPr="00BC6867">
        <w:rPr>
          <w:sz w:val="28"/>
          <w:szCs w:val="28"/>
        </w:rPr>
        <w:t xml:space="preserve">Наиболее часто поступали обращения граждан по вопросам, возникающим в сфере розничной торговли - 241 обращение, что составляет 68% от общего числа обратившихся. По вопросам продажи продовольственных товаров обратилось 20 граждан (6%). С жалобами на ненадлежащее качество товаров обратилось 175 </w:t>
      </w:r>
      <w:r w:rsidRPr="00BC6867">
        <w:rPr>
          <w:sz w:val="28"/>
          <w:szCs w:val="28"/>
        </w:rPr>
        <w:lastRenderedPageBreak/>
        <w:t>потребителей (50%). По-прежнему, лидерами некачественных товаров являются телефонные аппараты сотовой связи. Число обращений, связанных с их приобретением составляет 21%, с приобретением электробытовых товаров – 16%, мебели – 6%, автомобилей – 4%.</w:t>
      </w:r>
      <w:r w:rsidR="00BC6867">
        <w:rPr>
          <w:sz w:val="28"/>
          <w:szCs w:val="28"/>
        </w:rPr>
        <w:t xml:space="preserve"> </w:t>
      </w:r>
      <w:r w:rsidRPr="00BC6867">
        <w:rPr>
          <w:sz w:val="28"/>
          <w:szCs w:val="28"/>
        </w:rPr>
        <w:t>По вопросам обмена товаров надлежащего качества на аналогичные товары других размеров, формы, габаритов, расцветки обратилось 24 потребителя (7%).</w:t>
      </w:r>
    </w:p>
    <w:p w:rsidR="002B735A" w:rsidRPr="00BC6867" w:rsidRDefault="002B735A" w:rsidP="00BC6867">
      <w:pPr>
        <w:jc w:val="both"/>
        <w:rPr>
          <w:sz w:val="28"/>
          <w:szCs w:val="28"/>
        </w:rPr>
      </w:pPr>
      <w:r w:rsidRPr="00BC6867">
        <w:rPr>
          <w:sz w:val="28"/>
          <w:szCs w:val="28"/>
        </w:rPr>
        <w:t>Доля обращений граждан по вопросам предоставления жилищно-коммунальных услуг составляет 8%. Большинство обращений связано с начислением платы за коммунальные ресурсы. Поступали жалобы на некачественные услуги по водоснабжению, канализации, ремонту и содержанию жилья. По жалобам граждан направлено 6 писем в комитет жилищно-коммунального хозяйства, транспорта и связи района для принятия мер в устранении</w:t>
      </w:r>
      <w:r w:rsidR="00BC6867">
        <w:rPr>
          <w:sz w:val="28"/>
          <w:szCs w:val="28"/>
        </w:rPr>
        <w:t xml:space="preserve"> недостатков.</w:t>
      </w:r>
    </w:p>
    <w:p w:rsidR="002B735A" w:rsidRPr="00BC6867" w:rsidRDefault="002B735A" w:rsidP="00BC6867">
      <w:pPr>
        <w:jc w:val="both"/>
        <w:rPr>
          <w:sz w:val="28"/>
          <w:szCs w:val="28"/>
        </w:rPr>
      </w:pPr>
      <w:r w:rsidRPr="00BC6867">
        <w:rPr>
          <w:sz w:val="28"/>
          <w:szCs w:val="28"/>
        </w:rPr>
        <w:t xml:space="preserve">Также потребители района обращались по вопросам долевого участия в строительстве жилья, услугам правового характера, услугам банков, туристским услугам, услугам химчистки и другим вопросам. </w:t>
      </w:r>
    </w:p>
    <w:p w:rsidR="002B735A" w:rsidRPr="00BC6867" w:rsidRDefault="002B735A" w:rsidP="00BC6867">
      <w:pPr>
        <w:jc w:val="both"/>
        <w:rPr>
          <w:sz w:val="28"/>
          <w:szCs w:val="28"/>
        </w:rPr>
      </w:pPr>
      <w:r w:rsidRPr="00BC6867">
        <w:rPr>
          <w:sz w:val="28"/>
          <w:szCs w:val="28"/>
        </w:rPr>
        <w:t xml:space="preserve">В целях урегулирования споров, возникающих между предпринимателями и потребителями при продаже товаров и предоставлении услуг, оказывалась помощь потребителям в составлении претензий в письменной форме. Всего предъявлено 138 претензий на сумму 5 367 тыс. рублей, удовлетворено в добровольном порядке 107 претензий на сумму 2 002 тыс. рублей. </w:t>
      </w:r>
      <w:r w:rsidRPr="00BC6867">
        <w:rPr>
          <w:sz w:val="28"/>
          <w:szCs w:val="28"/>
        </w:rPr>
        <w:tab/>
      </w:r>
    </w:p>
    <w:p w:rsidR="002B735A" w:rsidRPr="00BC6867" w:rsidRDefault="002B735A" w:rsidP="00BC6867">
      <w:pPr>
        <w:jc w:val="both"/>
        <w:rPr>
          <w:sz w:val="28"/>
          <w:szCs w:val="28"/>
        </w:rPr>
      </w:pPr>
      <w:r w:rsidRPr="00BC6867">
        <w:rPr>
          <w:sz w:val="28"/>
          <w:szCs w:val="28"/>
        </w:rPr>
        <w:t>Продолжала оказываться помощь гражданам района в реализации их права на судебную защиту. Составлено 14 исковых заявлений в суд от имени потребителей на сумму 476 тыс. рублей. Судами удовлетворено 10 исков, заключено 1 мировое соглашение, 3 иска в стадии рассмотрения.</w:t>
      </w:r>
    </w:p>
    <w:p w:rsidR="007070FA" w:rsidRPr="00BC6867" w:rsidRDefault="002B735A" w:rsidP="00BC6867">
      <w:pPr>
        <w:jc w:val="both"/>
        <w:rPr>
          <w:sz w:val="28"/>
          <w:szCs w:val="28"/>
        </w:rPr>
      </w:pPr>
      <w:r w:rsidRPr="00BC6867">
        <w:rPr>
          <w:rFonts w:eastAsia="Calibri"/>
          <w:sz w:val="28"/>
          <w:szCs w:val="28"/>
          <w:lang w:eastAsia="en-US"/>
        </w:rPr>
        <w:t>По жалобам граждан на нарушение законодательства о продаже товаров, оказании услуг населению направлено 12 извещений в государственные органы исполнительной власти, уполномоченные на осуществление надзора в сфере защиты прав потребителей.</w:t>
      </w:r>
    </w:p>
    <w:sectPr w:rsidR="007070FA" w:rsidRPr="00BC6867" w:rsidSect="00BC686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B735A"/>
    <w:rsid w:val="002B735A"/>
    <w:rsid w:val="007070FA"/>
    <w:rsid w:val="00BA2339"/>
    <w:rsid w:val="00BC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1881</Words>
  <Characters>10722</Characters>
  <Application>Microsoft Office Word</Application>
  <DocSecurity>0</DocSecurity>
  <Lines>89</Lines>
  <Paragraphs>25</Paragraphs>
  <ScaleCrop>false</ScaleCrop>
  <Company>Microsoft</Company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2016-03-16T12:17:00Z</dcterms:created>
  <dcterms:modified xsi:type="dcterms:W3CDTF">2016-03-17T12:01:00Z</dcterms:modified>
</cp:coreProperties>
</file>