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4" w:rsidRPr="00EE3434" w:rsidRDefault="00EE3434" w:rsidP="00EE3434">
      <w:pPr>
        <w:pStyle w:val="Style7"/>
        <w:widowControl/>
        <w:jc w:val="both"/>
        <w:rPr>
          <w:rStyle w:val="FontStyle29"/>
          <w:b/>
          <w:sz w:val="28"/>
          <w:szCs w:val="28"/>
        </w:rPr>
      </w:pPr>
      <w:r w:rsidRPr="00EE3434">
        <w:rPr>
          <w:rStyle w:val="FontStyle29"/>
          <w:b/>
          <w:sz w:val="28"/>
          <w:szCs w:val="28"/>
        </w:rPr>
        <w:t>ПЕТРОПАВЛОВСК-КАМЧАТСКИЙ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proofErr w:type="gramStart"/>
      <w:r w:rsidRPr="00EE3434">
        <w:rPr>
          <w:rStyle w:val="FontStyle29"/>
          <w:sz w:val="28"/>
          <w:szCs w:val="28"/>
        </w:rPr>
        <w:t>Для решения задачи по созданию условий для обучения в соответствии с требованиями</w:t>
      </w:r>
      <w:proofErr w:type="gramEnd"/>
      <w:r w:rsidRPr="00EE3434">
        <w:rPr>
          <w:rStyle w:val="FontStyle29"/>
          <w:sz w:val="28"/>
          <w:szCs w:val="28"/>
        </w:rPr>
        <w:t xml:space="preserve"> ФГОС в 2105 году</w:t>
      </w:r>
      <w:r>
        <w:rPr>
          <w:rStyle w:val="FontStyle29"/>
          <w:sz w:val="28"/>
          <w:szCs w:val="28"/>
        </w:rPr>
        <w:t>:</w:t>
      </w:r>
    </w:p>
    <w:p w:rsidR="00EE3434" w:rsidRPr="00EE3434" w:rsidRDefault="00EE3434" w:rsidP="00EE3434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- приобретено 690 комплектов парт с регулируемой поверхностью, что позволит полностью укомплектовать 49 кабинет начальной школы в 28 общеобразовательных организациях;</w:t>
      </w:r>
    </w:p>
    <w:p w:rsidR="00EE3434" w:rsidRPr="00EE3434" w:rsidRDefault="00EE3434" w:rsidP="00EE3434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- в 19 общеобразовательных организаций приобретено 578 ед. компьютерного, интерактивного учебного и учебно-лабораторного оборудования и 91 ед. учебно-лабораторных пособий.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Проведена полная реконструкция двух спортивных площадок МБОУ СОШ № 12 и МАОУ «Начальная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школа-детский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сад № 52». </w:t>
      </w:r>
      <w:proofErr w:type="gramStart"/>
      <w:r w:rsidRPr="00EE3434">
        <w:rPr>
          <w:rStyle w:val="FontStyle29"/>
          <w:sz w:val="28"/>
          <w:szCs w:val="28"/>
        </w:rPr>
        <w:t>Подготовлены проектная документация на реконструкции ещё четырех площадок.</w:t>
      </w:r>
      <w:proofErr w:type="gramEnd"/>
      <w:r w:rsidRPr="00EE3434">
        <w:rPr>
          <w:rStyle w:val="FontStyle29"/>
          <w:sz w:val="28"/>
          <w:szCs w:val="28"/>
        </w:rPr>
        <w:t xml:space="preserve"> Всего с 2011 года проведена полная реконструкция и ремонт 13 школьных спортивных площадок.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В целях создания условий для обеспечения доступности качественного образования для детей-инвалидов и детей с ОВЗ в восьми общеобразовательных организациях городского округа проведены мероприятия по созданию универсальной </w:t>
      </w:r>
      <w:proofErr w:type="spellStart"/>
      <w:r w:rsidRPr="00EE3434">
        <w:rPr>
          <w:rStyle w:val="FontStyle29"/>
          <w:sz w:val="28"/>
          <w:szCs w:val="28"/>
        </w:rPr>
        <w:t>безбарьерной</w:t>
      </w:r>
      <w:proofErr w:type="spellEnd"/>
      <w:r w:rsidRPr="00EE3434">
        <w:rPr>
          <w:rStyle w:val="FontStyle29"/>
          <w:sz w:val="28"/>
          <w:szCs w:val="28"/>
        </w:rPr>
        <w:t xml:space="preserve"> среды: установлены пандусы, проведена реконструкция и оборудование необходимыми конструктивными элементами санитарных комнат, установлены индивидуальные рабочие места для детей в инвалидных колясках. Для беспрепятственного передвижения по лестничным маршам внутри зданий школ закуплены мобильные лестничные подъемники гусеничного типа и инвалидные коляски. Для слабовидящих и незрячих детей </w:t>
      </w:r>
      <w:proofErr w:type="gramStart"/>
      <w:r w:rsidRPr="00EE3434">
        <w:rPr>
          <w:rStyle w:val="FontStyle29"/>
          <w:sz w:val="28"/>
          <w:szCs w:val="28"/>
        </w:rPr>
        <w:t>в</w:t>
      </w:r>
      <w:proofErr w:type="gramEnd"/>
      <w:r w:rsidRPr="00EE3434">
        <w:rPr>
          <w:rStyle w:val="FontStyle29"/>
          <w:sz w:val="28"/>
          <w:szCs w:val="28"/>
        </w:rPr>
        <w:t xml:space="preserve"> </w:t>
      </w:r>
      <w:proofErr w:type="gramStart"/>
      <w:r w:rsidRPr="00EE3434">
        <w:rPr>
          <w:rStyle w:val="FontStyle29"/>
          <w:sz w:val="28"/>
          <w:szCs w:val="28"/>
        </w:rPr>
        <w:t>установлена</w:t>
      </w:r>
      <w:proofErr w:type="gramEnd"/>
      <w:r w:rsidRPr="00EE3434">
        <w:rPr>
          <w:rStyle w:val="FontStyle29"/>
          <w:sz w:val="28"/>
          <w:szCs w:val="28"/>
        </w:rPr>
        <w:t xml:space="preserve"> контрастная маркировка на дверях и ступеньках лестниц, система напольных тактильных направляющих, наклейки с обозначением помещений и указателей направления движения в рельефном исполнении. Для коррекционной и развивающей работы, поведенческой терапии, эмоционального развития детей - инвалидов и детей с ОВЗ в шести школах оборудованы сенсорные комнаты.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В 2015 году продолжена работа по модернизации школьных столовых. На эти цели предусмотрено 56 480,98 тыс. руб. из краевого и местного бюджетов. Еще в трех школах проведены капитальные ремонты пищеблоков и обеденных залов с полной заменой коммуникаций и внутренних электросетей. Установлено современное технологическое оборудование, обновлена столовая и кухонная посуда. В 7 учреждениях внедрена и успешно используется электронная карта оплаты питания школьников. В общей сложности, в период с 2010 по 2015 гг. полная модернизация школьных столовых проведена в 15 общеобразовательных организациях.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В государственной итоговой аттестации по программам основного общего образования приняли участие 1633 выпускника, по программам среднего общего образования 802 выпускника. Завершили образование на уровне основного общего образования 87,8% выпускников, на уровне среднего общего образования 98,1% выпускников. В процедуре проведения ЕГЭ и ОГЭ в качестве организаторов приняли участие 350 педагогов.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Итоги государственной итоговой аттестации выпускников 9, 11(12) классов в 2015 году подтверждают эффективность деятельности системы общего образования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Петропавловск-Камчатского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городского округа: по русскому языку средний балл выпускников 9-х классов сопоставим с показателями по Камчатскому краю, по математике</w:t>
      </w:r>
      <w:r>
        <w:rPr>
          <w:rStyle w:val="FontStyle29"/>
          <w:sz w:val="28"/>
          <w:szCs w:val="28"/>
        </w:rPr>
        <w:t xml:space="preserve"> </w:t>
      </w:r>
      <w:r w:rsidRPr="00EE3434">
        <w:rPr>
          <w:rStyle w:val="FontStyle29"/>
          <w:sz w:val="28"/>
          <w:szCs w:val="28"/>
        </w:rPr>
        <w:t>- ниже на 0,1 балла.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lastRenderedPageBreak/>
        <w:t>Доля выпускников, успешно сдавших ЕГЭ по русскому языку составила 100%, по математике - 98,9%. Показатели среднего тестового балла по русскому языку выше показателей по Камчатскому краю на 1,8 балла (69,5), по математике профильного уровн</w:t>
      </w:r>
      <w:proofErr w:type="gramStart"/>
      <w:r w:rsidRPr="00EE3434">
        <w:rPr>
          <w:rStyle w:val="FontStyle29"/>
          <w:sz w:val="28"/>
          <w:szCs w:val="28"/>
        </w:rPr>
        <w:t>я-</w:t>
      </w:r>
      <w:proofErr w:type="gramEnd"/>
      <w:r w:rsidRPr="00EE3434">
        <w:rPr>
          <w:rStyle w:val="FontStyle29"/>
          <w:sz w:val="28"/>
          <w:szCs w:val="28"/>
        </w:rPr>
        <w:t xml:space="preserve"> выше на 0,3 балла (47,0), по математике базового уровня - сопоставимы с показателями края.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Средний балл выпускников общеобразовательных учреждений городского округа по всем предметам, за исключением географии, превышает средние показатели по Камчатскому краю.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Результаты ЕГЭ 2015 года свидетельствует в целом о достаточно высоком уровне успеваемости, качества знаний и среднего балла выпускников муниципальных общеобразовательных учреждений. Кроме того, доля </w:t>
      </w:r>
      <w:proofErr w:type="gramStart"/>
      <w:r w:rsidRPr="00EE3434">
        <w:rPr>
          <w:rStyle w:val="FontStyle29"/>
          <w:sz w:val="28"/>
          <w:szCs w:val="28"/>
        </w:rPr>
        <w:t>выпускников, сдавших единый государственный экзамен по русскому языку и математике составила</w:t>
      </w:r>
      <w:proofErr w:type="gramEnd"/>
      <w:r w:rsidRPr="00EE3434">
        <w:rPr>
          <w:rStyle w:val="FontStyle29"/>
          <w:sz w:val="28"/>
          <w:szCs w:val="28"/>
        </w:rPr>
        <w:t xml:space="preserve"> 98,9% от общей численности выпускников.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Третий год проводятся Малые олимпийские игры для дошкольников. В 2015 году приняли участие 200 воспитанников детских дошкольных учреждений.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В общеобразовательных учреждениях функционировали 1064 объединения дополнительного образования, в которых занимались 9964 человека, что составило 56 % от общего числа учащихся.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В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Петропавловск-Камчатском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городском округе функционируют девять муниципальных образовательных учреждений дополнительного образования детей, из них четыре реализуют многопрофильные дополнительные образовательные программы и пять учреждений - спортивной направленности. </w:t>
      </w:r>
      <w:proofErr w:type="gramStart"/>
      <w:r w:rsidRPr="00EE3434">
        <w:rPr>
          <w:rStyle w:val="FontStyle29"/>
          <w:sz w:val="28"/>
          <w:szCs w:val="28"/>
        </w:rPr>
        <w:t xml:space="preserve">В 2015 году их посещали 8248 детей, функционировало 546 кружков и объединений следующей направленности: 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культурологическая, </w:t>
      </w:r>
      <w:proofErr w:type="spellStart"/>
      <w:r w:rsidRPr="00EE3434">
        <w:rPr>
          <w:rStyle w:val="FontStyle29"/>
          <w:sz w:val="28"/>
          <w:szCs w:val="28"/>
        </w:rPr>
        <w:t>естественно-научная</w:t>
      </w:r>
      <w:proofErr w:type="spellEnd"/>
      <w:r w:rsidRPr="00EE3434">
        <w:rPr>
          <w:rStyle w:val="FontStyle29"/>
          <w:sz w:val="28"/>
          <w:szCs w:val="28"/>
        </w:rPr>
        <w:t>.</w:t>
      </w:r>
      <w:proofErr w:type="gramEnd"/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В 2014-2015 учебном году повысили уровень спортивного мастерства 87 учащихся детско-юношеских спортивных школ, количество обучающихся, выполнивших нормативы на получение разряда/звания составило: 1 разряд -48 человек; кандидаты в мастера спорта - 27; мастера спорта - 12. </w:t>
      </w:r>
      <w:proofErr w:type="gramStart"/>
      <w:r w:rsidRPr="00EE3434">
        <w:rPr>
          <w:rStyle w:val="FontStyle29"/>
          <w:sz w:val="28"/>
          <w:szCs w:val="28"/>
        </w:rPr>
        <w:t>Количество детей и подростков, принявших участие в краевых, межрегиональных, всероссийских, международных конкурсах (соревнованиях), составило около 3000 человек. 35 воспитанников стали победителями всероссийских и международных конкурсов и соревнований, из них 29 человек - воспитанники детско-юношеских спортивных школ: 4 победителя Первенства Дальневосточного Федерального округа по шахматам (ДЮСШ № 1), 5 серебряных призеров Всероссийских соревнований «Олимпийские надежды» по художественной гимнастике (ДЮСШ № 2), 6 победителей Первенства</w:t>
      </w:r>
      <w:proofErr w:type="gramEnd"/>
      <w:r w:rsidRPr="00EE3434">
        <w:rPr>
          <w:rStyle w:val="FontStyle29"/>
          <w:sz w:val="28"/>
          <w:szCs w:val="28"/>
        </w:rPr>
        <w:t xml:space="preserve"> Дальневосточного Федерального округа и Кубка Мира-2015 по </w:t>
      </w:r>
      <w:proofErr w:type="spellStart"/>
      <w:r w:rsidRPr="00EE3434">
        <w:rPr>
          <w:rStyle w:val="FontStyle29"/>
          <w:sz w:val="28"/>
          <w:szCs w:val="28"/>
        </w:rPr>
        <w:t>кикбоксингу</w:t>
      </w:r>
      <w:proofErr w:type="spellEnd"/>
      <w:r w:rsidRPr="00EE3434">
        <w:rPr>
          <w:rStyle w:val="FontStyle29"/>
          <w:sz w:val="28"/>
          <w:szCs w:val="28"/>
        </w:rPr>
        <w:t xml:space="preserve"> (ДЮСШ № 3), 14 воспитанников ДЮСШ </w:t>
      </w:r>
      <w:r w:rsidRPr="00EE3434">
        <w:rPr>
          <w:rStyle w:val="FontStyle29"/>
          <w:spacing w:val="90"/>
          <w:sz w:val="28"/>
          <w:szCs w:val="28"/>
        </w:rPr>
        <w:t>№5-</w:t>
      </w:r>
      <w:r w:rsidRPr="00EE3434">
        <w:rPr>
          <w:rStyle w:val="FontStyle29"/>
          <w:sz w:val="28"/>
          <w:szCs w:val="28"/>
        </w:rPr>
        <w:t xml:space="preserve">победители Олимпиады боевых искусств, Чемпионата «Юность России», Чемпионата Мира-2015 по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комбат-самообороне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в г. </w:t>
      </w:r>
      <w:proofErr w:type="spellStart"/>
      <w:r w:rsidRPr="00EE3434">
        <w:rPr>
          <w:rStyle w:val="FontStyle29"/>
          <w:sz w:val="28"/>
          <w:szCs w:val="28"/>
        </w:rPr>
        <w:t>Штутгардт</w:t>
      </w:r>
      <w:proofErr w:type="spellEnd"/>
      <w:r w:rsidRPr="00EE3434">
        <w:rPr>
          <w:rStyle w:val="FontStyle29"/>
          <w:sz w:val="28"/>
          <w:szCs w:val="28"/>
        </w:rPr>
        <w:t>, Германия.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Среди победителей всероссийских и международных конкурсов 2 творческих коллектива: </w:t>
      </w:r>
      <w:proofErr w:type="gramStart"/>
      <w:r w:rsidRPr="00EE3434">
        <w:rPr>
          <w:rStyle w:val="FontStyle29"/>
          <w:sz w:val="28"/>
          <w:szCs w:val="28"/>
        </w:rPr>
        <w:t>«Радость» (Дом детского творчества «Юность») и «</w:t>
      </w:r>
      <w:proofErr w:type="spellStart"/>
      <w:r w:rsidRPr="00EE3434">
        <w:rPr>
          <w:rStyle w:val="FontStyle29"/>
          <w:sz w:val="28"/>
          <w:szCs w:val="28"/>
        </w:rPr>
        <w:t>Маххаббат</w:t>
      </w:r>
      <w:proofErr w:type="spellEnd"/>
      <w:r w:rsidRPr="00EE3434">
        <w:rPr>
          <w:rStyle w:val="FontStyle29"/>
          <w:sz w:val="28"/>
          <w:szCs w:val="28"/>
        </w:rPr>
        <w:t>» (Центр внешкольной работы), имеющие звание «Образцовый детский коллектив», а также военно-патриотический клуб «Десантное братство» (Станция детского и юношеского творчества), занявший первое место во Всероссийском военно-спортивном проекте «В зоне особого внимания».</w:t>
      </w:r>
      <w:proofErr w:type="gramEnd"/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proofErr w:type="gramStart"/>
      <w:r w:rsidRPr="00EE3434">
        <w:rPr>
          <w:rStyle w:val="FontStyle29"/>
          <w:sz w:val="28"/>
          <w:szCs w:val="28"/>
        </w:rPr>
        <w:lastRenderedPageBreak/>
        <w:t>В целях формирования у подростков готовности к выполнению ими воинской обязанности на базе одной из войсковых частей</w:t>
      </w:r>
      <w:proofErr w:type="gramEnd"/>
      <w:r w:rsidRPr="00EE3434">
        <w:rPr>
          <w:rStyle w:val="FontStyle29"/>
          <w:sz w:val="28"/>
          <w:szCs w:val="28"/>
        </w:rPr>
        <w:t xml:space="preserve">, расположенных на территории </w:t>
      </w:r>
      <w:proofErr w:type="spellStart"/>
      <w:r w:rsidRPr="00EE3434">
        <w:rPr>
          <w:rStyle w:val="FontStyle29"/>
          <w:sz w:val="28"/>
          <w:szCs w:val="28"/>
        </w:rPr>
        <w:t>Петропавловск-Камчатского</w:t>
      </w:r>
      <w:proofErr w:type="spellEnd"/>
      <w:r w:rsidRPr="00EE3434">
        <w:rPr>
          <w:rStyle w:val="FontStyle29"/>
          <w:sz w:val="28"/>
          <w:szCs w:val="28"/>
        </w:rPr>
        <w:t xml:space="preserve"> городского округа, проводится городской конкурс для детей из социально-неблагополучных семей «Слет </w:t>
      </w:r>
      <w:proofErr w:type="spellStart"/>
      <w:r w:rsidRPr="00EE3434">
        <w:rPr>
          <w:rStyle w:val="FontStyle29"/>
          <w:sz w:val="28"/>
          <w:szCs w:val="28"/>
        </w:rPr>
        <w:t>мальчишей</w:t>
      </w:r>
      <w:proofErr w:type="spellEnd"/>
      <w:r w:rsidRPr="00EE3434">
        <w:rPr>
          <w:rStyle w:val="FontStyle29"/>
          <w:sz w:val="28"/>
          <w:szCs w:val="28"/>
        </w:rPr>
        <w:t>». В 2015 году число участников конкурса составило 80 человек из 16 образовательных учреждений.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 Большая работа была проведена на базе школьных музеев в рамках подготовки к празднованию 70-летия Победы в Великой Отечественной войне 1941-1945 гг. В каждом музее были оформлены музейные экспозиции, посвященные воинам, проявившим мужество и героизм при защите Отечества: П. Ильичеву, Н Вилкову, В.Г. Турову, Д.Г. Пономареву. В музее СОШ № 24 оформлен стенд, посвященный истории создания пограничных войск на Камчатке, в музее СОШ № 12 - стенд, посвященный подвигам моряков-пограничников в/</w:t>
      </w:r>
      <w:proofErr w:type="gramStart"/>
      <w:r w:rsidRPr="00EE3434">
        <w:rPr>
          <w:rStyle w:val="FontStyle29"/>
          <w:sz w:val="28"/>
          <w:szCs w:val="28"/>
        </w:rPr>
        <w:t>ч</w:t>
      </w:r>
      <w:proofErr w:type="gramEnd"/>
      <w:r w:rsidRPr="00EE3434">
        <w:rPr>
          <w:rStyle w:val="FontStyle29"/>
          <w:sz w:val="28"/>
          <w:szCs w:val="28"/>
        </w:rPr>
        <w:t xml:space="preserve"> 2376. В каждом музее созданы экспозиции, посвященные героическим событиям истории города Петропавловска-Камчатского: героической обороне Петропавловского порта от англо-французской эскадры в 1854 году, высадке Курильского десанта на острова </w:t>
      </w:r>
      <w:proofErr w:type="spellStart"/>
      <w:r w:rsidRPr="00EE3434">
        <w:rPr>
          <w:rStyle w:val="FontStyle29"/>
          <w:sz w:val="28"/>
          <w:szCs w:val="28"/>
        </w:rPr>
        <w:t>Парамушир</w:t>
      </w:r>
      <w:proofErr w:type="spellEnd"/>
      <w:r w:rsidRPr="00EE3434">
        <w:rPr>
          <w:rStyle w:val="FontStyle29"/>
          <w:sz w:val="28"/>
          <w:szCs w:val="28"/>
        </w:rPr>
        <w:t xml:space="preserve"> и </w:t>
      </w:r>
      <w:proofErr w:type="spellStart"/>
      <w:r w:rsidRPr="00EE3434">
        <w:rPr>
          <w:rStyle w:val="FontStyle29"/>
          <w:sz w:val="28"/>
          <w:szCs w:val="28"/>
        </w:rPr>
        <w:t>Шумшу</w:t>
      </w:r>
      <w:proofErr w:type="spellEnd"/>
      <w:r w:rsidRPr="00EE3434">
        <w:rPr>
          <w:rStyle w:val="FontStyle29"/>
          <w:sz w:val="28"/>
          <w:szCs w:val="28"/>
        </w:rPr>
        <w:t xml:space="preserve"> в 1945 году. Для учащихся всех классов общеобразовательных учреждений, в которых расположены музеи, были организованы посещения тематических выставок, проведение Уроков Мужества, устных журналов, тематических классных часов. На базе школьных музеев работали лекторские группы в составе учащихся 7-11 классов.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В течение года было проведено 65 городских творческих конкурсов, в которых приняли участие 9750 учащихся. Организовано проведение 59 городских спортивных соревнований, в которых приняли участие около 10000 учащихся.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В 2016 году планируется продолжить работу по военно-патриотическому воспитанию учащихся и работу подготовку к сдаче учащимися городского округа норм ГТО.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В 2015 году успешно реализованы подпрограммы муниципальной программы «Создание условий для развития культуры, спорта и молодежной политики в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Петропавловск-Камчатском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городском округе» - «Молодежь </w:t>
      </w:r>
      <w:proofErr w:type="spellStart"/>
      <w:r w:rsidRPr="00EE3434">
        <w:rPr>
          <w:rStyle w:val="FontStyle29"/>
          <w:sz w:val="28"/>
          <w:szCs w:val="28"/>
        </w:rPr>
        <w:t>Петропавловск-Камчатского</w:t>
      </w:r>
      <w:proofErr w:type="spellEnd"/>
      <w:r w:rsidRPr="00EE3434">
        <w:rPr>
          <w:rStyle w:val="FontStyle29"/>
          <w:sz w:val="28"/>
          <w:szCs w:val="28"/>
        </w:rPr>
        <w:t xml:space="preserve"> городского округа», «Развитие физической культуры и спорта» и подпрограмма 4 «Обеспечение жильем молодых семей» муниципальной программы «Обеспечение доступным и комфортным жильем жителей </w:t>
      </w:r>
      <w:proofErr w:type="spellStart"/>
      <w:r w:rsidRPr="00EE3434">
        <w:rPr>
          <w:rStyle w:val="FontStyle29"/>
          <w:sz w:val="28"/>
          <w:szCs w:val="28"/>
        </w:rPr>
        <w:t>Петропавловск-Камчатского</w:t>
      </w:r>
      <w:proofErr w:type="spellEnd"/>
      <w:r w:rsidRPr="00EE3434">
        <w:rPr>
          <w:rStyle w:val="FontStyle29"/>
          <w:sz w:val="28"/>
          <w:szCs w:val="28"/>
        </w:rPr>
        <w:t xml:space="preserve"> городского округа».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Наиболее значительным в 2015 году считаем обеспечение взаимодействия всех структурных подразделений городской администрации с общественными организациями и объединениями, спортивными федерациями по выполнению программных мероприятий, взаимодействию в рамках конкурсов проектов и программ и поддержки волонтерской деятельности. Все мероприятия освещались в средствах массовой информации, на сайте городской администрации и на молодежном городском сайте.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1.1 Реализация подпрограммы Молодежь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Петропавловск-Камчатского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городского округа».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Все запланированные в рамках реализации подпрограммы молодежные мероприятия и проекты выполнены в полном объеме. Запланировано и проведено 70 молодежных мероприятий (смотры, конкурсы, фестивали, выставки, ярмарки, семинары и т.п.), 22 мероприятия по профориентации, содействию занятости и </w:t>
      </w:r>
      <w:r w:rsidRPr="00EE3434">
        <w:rPr>
          <w:rStyle w:val="FontStyle29"/>
          <w:sz w:val="28"/>
          <w:szCs w:val="28"/>
        </w:rPr>
        <w:lastRenderedPageBreak/>
        <w:t>вовлечению молодежи в трудовую деятельность, 10 информационных мероприятий и материалов, размещенных в СМИ.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В рамках реализации подпрограммы 33 представителя молодежи приняли участие в российских, региональных мероприятиях, соревнованиях, фестивалях, в том числе оказывается поддержка клубу КВН-Камчатка.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В МАУ «Молодежный центр» на специально созданных дополнительных временных рабочих местах в трудовых отрядах «Молодой Петропавловск» в 2015 году трудоустроено 597, из них 70 подростков группы риска.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В ходе реализации мероприятий подпрограммы работа осуществлялась в тесном взаимодействии с молодежными общественными организациями и объединениями, Молодежным правительством и региональным отделением Российского союза молодежи.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Самые яркие из реализованных молодежных проектов за 2015 год: городской этап конкурса на лучшую молодую семью, День молодежи, образовательный проект «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Бизнес-молодежи</w:t>
      </w:r>
      <w:proofErr w:type="spellEnd"/>
      <w:proofErr w:type="gramEnd"/>
      <w:r w:rsidRPr="00EE3434">
        <w:rPr>
          <w:rStyle w:val="FontStyle29"/>
          <w:sz w:val="28"/>
          <w:szCs w:val="28"/>
        </w:rPr>
        <w:t>», акция «Георгиевская ленточка», фестиваль «Песни о любви на разных языках», вечер подведения итогов года - вручение городской молодежной премии «Белая ворона».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В рамках поддержки общественных организаций и объединений ежегодно проводится конкурс проектов и программ общественных организаций и объединений на предоставление субсидий из бюджета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Петропавловск-Камчатского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городского округа на поддержку общественных инициатив по направлениям молодежной политики. Победителями конкурса в 2015 году </w:t>
      </w:r>
      <w:proofErr w:type="gramStart"/>
      <w:r w:rsidRPr="00EE3434">
        <w:rPr>
          <w:rStyle w:val="FontStyle29"/>
          <w:sz w:val="28"/>
          <w:szCs w:val="28"/>
        </w:rPr>
        <w:t>признаны</w:t>
      </w:r>
      <w:proofErr w:type="gramEnd"/>
      <w:r w:rsidRPr="00EE3434">
        <w:rPr>
          <w:rStyle w:val="FontStyle29"/>
          <w:sz w:val="28"/>
          <w:szCs w:val="28"/>
        </w:rPr>
        <w:t xml:space="preserve"> 15 проектов. Также в рамках реализации подпрограммы</w:t>
      </w:r>
      <w:proofErr w:type="gramStart"/>
      <w:r w:rsidRPr="00EE3434">
        <w:rPr>
          <w:rStyle w:val="FontStyle29"/>
          <w:sz w:val="28"/>
          <w:szCs w:val="28"/>
        </w:rPr>
        <w:t xml:space="preserve"> В</w:t>
      </w:r>
      <w:proofErr w:type="gramEnd"/>
      <w:r w:rsidRPr="00EE3434">
        <w:rPr>
          <w:rStyle w:val="FontStyle29"/>
          <w:sz w:val="28"/>
          <w:szCs w:val="28"/>
        </w:rPr>
        <w:t xml:space="preserve"> рамках программы осуществляется профилактическая работа, в том числе ежегодно проводится лагерь для несовершеннолетних «группы риска» «Гранит» - за 2015 год в лагере «Гранит» отдохнуло 32 несовершеннолетних; проводятся мероприятия по профилактике асоциальных явлений в молодежной среде, пропаганде здорового образа жизни, издаются печатные материалы.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1.2. Реализация подпрограммы «Развитие физической культуры и спорта на 2015 год совместно с 38 спортивными федерациями проведено 148 мероприятие, в том числе:</w:t>
      </w:r>
    </w:p>
    <w:p w:rsidR="00EE3434" w:rsidRPr="00EE3434" w:rsidRDefault="00EE3434" w:rsidP="00EE3434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- официальные соревнования по видам спорта - чемпионаты, первенства и кубки городского округа в соответствии с календарным планом;</w:t>
      </w:r>
    </w:p>
    <w:p w:rsidR="00EE3434" w:rsidRPr="00EE3434" w:rsidRDefault="00EE3434" w:rsidP="00EE3434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- массовые спортивные праздники: «Камчатская лыжня», в которой в 2015 году приняло участие </w:t>
      </w:r>
      <w:proofErr w:type="gramStart"/>
      <w:r w:rsidRPr="00EE3434">
        <w:rPr>
          <w:rStyle w:val="FontStyle29"/>
          <w:sz w:val="28"/>
          <w:szCs w:val="28"/>
        </w:rPr>
        <w:t>около тысячи горожан</w:t>
      </w:r>
      <w:proofErr w:type="gramEnd"/>
      <w:r w:rsidRPr="00EE3434">
        <w:rPr>
          <w:rStyle w:val="FontStyle29"/>
          <w:sz w:val="28"/>
          <w:szCs w:val="28"/>
        </w:rPr>
        <w:t>; муниципальный этап соревнований по футболу «Кожаный мяч» (в турнире приняло участие 276 юных футболистов); традиционный легкоатлетический пробег «Эстафета мира» (700 участников); соревнования по скейтборду, агрессивным роликам;</w:t>
      </w:r>
    </w:p>
    <w:p w:rsidR="00EE3434" w:rsidRPr="00EE3434" w:rsidRDefault="00EE3434" w:rsidP="00EE3434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- спортивный праздник: «Молодежный Экстрим» 7 января на площад</w:t>
      </w:r>
      <w:r>
        <w:rPr>
          <w:rStyle w:val="FontStyle29"/>
          <w:sz w:val="28"/>
          <w:szCs w:val="28"/>
        </w:rPr>
        <w:t>и Ленина - соревнования по сноубор</w:t>
      </w:r>
      <w:r w:rsidRPr="00EE3434">
        <w:rPr>
          <w:rStyle w:val="FontStyle29"/>
          <w:sz w:val="28"/>
          <w:szCs w:val="28"/>
        </w:rPr>
        <w:t>ду и горным лыжам;</w:t>
      </w:r>
    </w:p>
    <w:p w:rsidR="00EE3434" w:rsidRPr="00EE3434" w:rsidRDefault="00EE3434" w:rsidP="00EE3434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- спортивные события: Кубок Главы администрации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Петропавловск-Камчатского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городского округа по спортивным бальным танцам – ноябрь 2015 года; Городская парусная Регата «Осенний ветер - сентябрь 2015 года; Физкультурно-спортивные мероприятия, посвященные Дню физкультурника</w:t>
      </w:r>
    </w:p>
    <w:p w:rsidR="00EE3434" w:rsidRPr="00EE3434" w:rsidRDefault="00EE3434" w:rsidP="00EE3434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- август 2015 года; Традиционная тренировка, посвященная памяти основателя стиля </w:t>
      </w:r>
      <w:proofErr w:type="spellStart"/>
      <w:r w:rsidRPr="00EE3434">
        <w:rPr>
          <w:rStyle w:val="FontStyle29"/>
          <w:sz w:val="28"/>
          <w:szCs w:val="28"/>
        </w:rPr>
        <w:t>Киокусинкай</w:t>
      </w:r>
      <w:proofErr w:type="spellEnd"/>
      <w:r w:rsidRPr="00EE3434">
        <w:rPr>
          <w:rStyle w:val="FontStyle29"/>
          <w:sz w:val="28"/>
          <w:szCs w:val="28"/>
        </w:rPr>
        <w:t xml:space="preserve"> </w:t>
      </w:r>
      <w:proofErr w:type="spellStart"/>
      <w:r w:rsidRPr="00EE3434">
        <w:rPr>
          <w:rStyle w:val="FontStyle29"/>
          <w:sz w:val="28"/>
          <w:szCs w:val="28"/>
        </w:rPr>
        <w:t>Масутацу</w:t>
      </w:r>
      <w:proofErr w:type="spellEnd"/>
      <w:r w:rsidRPr="00EE3434">
        <w:rPr>
          <w:rStyle w:val="FontStyle29"/>
          <w:sz w:val="28"/>
          <w:szCs w:val="28"/>
        </w:rPr>
        <w:t xml:space="preserve"> </w:t>
      </w:r>
      <w:proofErr w:type="spellStart"/>
      <w:r w:rsidRPr="00EE3434">
        <w:rPr>
          <w:rStyle w:val="FontStyle29"/>
          <w:sz w:val="28"/>
          <w:szCs w:val="28"/>
        </w:rPr>
        <w:t>Оямы</w:t>
      </w:r>
      <w:proofErr w:type="spellEnd"/>
      <w:r w:rsidRPr="00EE3434">
        <w:rPr>
          <w:rStyle w:val="FontStyle29"/>
          <w:sz w:val="28"/>
          <w:szCs w:val="28"/>
        </w:rPr>
        <w:t xml:space="preserve"> - июль 2015 года; Джип </w:t>
      </w:r>
      <w:proofErr w:type="spellStart"/>
      <w:r w:rsidRPr="00EE3434">
        <w:rPr>
          <w:rStyle w:val="FontStyle29"/>
          <w:sz w:val="28"/>
          <w:szCs w:val="28"/>
        </w:rPr>
        <w:t>триал</w:t>
      </w:r>
      <w:proofErr w:type="spellEnd"/>
    </w:p>
    <w:p w:rsidR="00EE3434" w:rsidRPr="00EE3434" w:rsidRDefault="00EE3434" w:rsidP="00EE3434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- экстремальное шоу, в рамках Международного дня борьбы с наркоманией </w:t>
      </w:r>
      <w:proofErr w:type="gramStart"/>
      <w:r w:rsidRPr="00EE3434">
        <w:rPr>
          <w:rStyle w:val="FontStyle29"/>
          <w:sz w:val="28"/>
          <w:szCs w:val="28"/>
        </w:rPr>
        <w:t>-м</w:t>
      </w:r>
      <w:proofErr w:type="gramEnd"/>
      <w:r w:rsidRPr="00EE3434">
        <w:rPr>
          <w:rStyle w:val="FontStyle29"/>
          <w:sz w:val="28"/>
          <w:szCs w:val="28"/>
        </w:rPr>
        <w:t xml:space="preserve">арт 2015 года; Городской Кубок по серфингу - август 2015 года; Чемпионат, Первенство </w:t>
      </w:r>
      <w:r w:rsidRPr="00EE3434">
        <w:rPr>
          <w:rStyle w:val="FontStyle29"/>
          <w:sz w:val="28"/>
          <w:szCs w:val="28"/>
        </w:rPr>
        <w:lastRenderedPageBreak/>
        <w:t xml:space="preserve">и Кубок города по </w:t>
      </w:r>
      <w:proofErr w:type="spellStart"/>
      <w:r w:rsidRPr="00EE3434">
        <w:rPr>
          <w:rStyle w:val="FontStyle29"/>
          <w:sz w:val="28"/>
          <w:szCs w:val="28"/>
        </w:rPr>
        <w:t>чир-спорту</w:t>
      </w:r>
      <w:proofErr w:type="spellEnd"/>
      <w:r w:rsidRPr="00EE3434">
        <w:rPr>
          <w:rStyle w:val="FontStyle29"/>
          <w:sz w:val="28"/>
          <w:szCs w:val="28"/>
        </w:rPr>
        <w:t xml:space="preserve"> - декабрь 2015 года; первый городской Чемпионат по </w:t>
      </w:r>
      <w:proofErr w:type="spellStart"/>
      <w:r w:rsidRPr="00EE3434">
        <w:rPr>
          <w:rStyle w:val="FontStyle29"/>
          <w:sz w:val="28"/>
          <w:szCs w:val="28"/>
        </w:rPr>
        <w:t>пейнтболу</w:t>
      </w:r>
      <w:proofErr w:type="spellEnd"/>
      <w:r w:rsidRPr="00EE3434">
        <w:rPr>
          <w:rStyle w:val="FontStyle29"/>
          <w:sz w:val="28"/>
          <w:szCs w:val="28"/>
        </w:rPr>
        <w:t xml:space="preserve"> - август 2015 года.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Ведется постоянная работа по информированию жителей города о проведении спортивных мероприятий, пропаганде здорового образа жизни.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1.3 Реализация подпрограммы 4 «Обеспечение жильем молодых семей» муниципальной программы «Обеспечение доступным и комфортным жильем жителей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Петропавловск-Камчатского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городского округа».</w:t>
      </w:r>
    </w:p>
    <w:p w:rsidR="00EE3434" w:rsidRPr="00EE3434" w:rsidRDefault="00EE3434" w:rsidP="00EE3434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Программа является приоритетной и реализуется с 2008 года. За это время по подпрограмме 431 молодая семья приобрела жилье: в 2008 году - 33; в 2009 - 24; в 2010 - 34; в 2011- 52; в 2012 - 50, </w:t>
      </w:r>
      <w:proofErr w:type="gramStart"/>
      <w:r w:rsidRPr="00EE3434">
        <w:rPr>
          <w:rStyle w:val="FontStyle29"/>
          <w:sz w:val="28"/>
          <w:szCs w:val="28"/>
        </w:rPr>
        <w:t>в</w:t>
      </w:r>
      <w:proofErr w:type="gramEnd"/>
      <w:r w:rsidRPr="00EE3434">
        <w:rPr>
          <w:rStyle w:val="FontStyle29"/>
          <w:sz w:val="28"/>
          <w:szCs w:val="28"/>
        </w:rPr>
        <w:t xml:space="preserve"> 2013 - 51, </w:t>
      </w:r>
      <w:proofErr w:type="gramStart"/>
      <w:r w:rsidRPr="00EE3434">
        <w:rPr>
          <w:rStyle w:val="FontStyle29"/>
          <w:sz w:val="28"/>
          <w:szCs w:val="28"/>
        </w:rPr>
        <w:t>в</w:t>
      </w:r>
      <w:proofErr w:type="gramEnd"/>
      <w:r w:rsidRPr="00EE3434">
        <w:rPr>
          <w:rStyle w:val="FontStyle29"/>
          <w:sz w:val="28"/>
          <w:szCs w:val="28"/>
        </w:rPr>
        <w:t xml:space="preserve"> 2014 - 82, в 2015 году - 105 молодых семей приобрели жилье.</w:t>
      </w:r>
    </w:p>
    <w:p w:rsidR="00EE3434" w:rsidRPr="00EE3434" w:rsidRDefault="00EE3434" w:rsidP="00EE3434">
      <w:pPr>
        <w:pStyle w:val="Style13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 xml:space="preserve">В 2016 году стратегическими направлениями деятельности в сфере работы с молодежью в </w:t>
      </w:r>
      <w:proofErr w:type="spellStart"/>
      <w:proofErr w:type="gramStart"/>
      <w:r w:rsidRPr="00EE3434">
        <w:rPr>
          <w:rStyle w:val="FontStyle29"/>
          <w:sz w:val="28"/>
          <w:szCs w:val="28"/>
        </w:rPr>
        <w:t>Петропавловск-Камчатском</w:t>
      </w:r>
      <w:proofErr w:type="spellEnd"/>
      <w:proofErr w:type="gramEnd"/>
      <w:r w:rsidRPr="00EE3434">
        <w:rPr>
          <w:rStyle w:val="FontStyle29"/>
          <w:sz w:val="28"/>
          <w:szCs w:val="28"/>
        </w:rPr>
        <w:t xml:space="preserve"> городском округе считаем:</w:t>
      </w:r>
    </w:p>
    <w:p w:rsidR="00EE3434" w:rsidRPr="00EE3434" w:rsidRDefault="00EE3434" w:rsidP="00EE3434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- продолжение системной работы по максимальному привлечению молодежных общественных организаций и объединений к активному участию в реализации программных мероприятий, проектной деятельности путем участия в конкурсах на получение грантов;</w:t>
      </w:r>
    </w:p>
    <w:p w:rsidR="00EE3434" w:rsidRPr="00EE3434" w:rsidRDefault="00EE3434" w:rsidP="00EE3434">
      <w:pPr>
        <w:pStyle w:val="Style8"/>
        <w:widowControl/>
        <w:jc w:val="both"/>
        <w:rPr>
          <w:rStyle w:val="FontStyle29"/>
          <w:sz w:val="28"/>
          <w:szCs w:val="28"/>
        </w:rPr>
      </w:pPr>
      <w:r w:rsidRPr="00EE3434">
        <w:rPr>
          <w:rStyle w:val="FontStyle29"/>
          <w:sz w:val="28"/>
          <w:szCs w:val="28"/>
        </w:rPr>
        <w:t>- организация работы муниципальных учреждений сферы молодежной политики по приоритетным направлениям деятельности, в том числе по трудоустройству несовершеннолетних и по работе с молодежными общественными организациями.</w:t>
      </w:r>
    </w:p>
    <w:sectPr w:rsidR="00EE3434" w:rsidRPr="00EE3434" w:rsidSect="00EE34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434"/>
    <w:rsid w:val="000501F7"/>
    <w:rsid w:val="00EE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E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E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E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E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E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E343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2052</Words>
  <Characters>11703</Characters>
  <Application>Microsoft Office Word</Application>
  <DocSecurity>0</DocSecurity>
  <Lines>97</Lines>
  <Paragraphs>27</Paragraphs>
  <ScaleCrop>false</ScaleCrop>
  <Company>Microsoft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2016-03-24T04:35:00Z</dcterms:created>
  <dcterms:modified xsi:type="dcterms:W3CDTF">2016-03-24T04:39:00Z</dcterms:modified>
</cp:coreProperties>
</file>