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61" w:rsidRPr="0025624C" w:rsidRDefault="00C67A61" w:rsidP="00C67A61">
      <w:pPr>
        <w:pStyle w:val="Style1"/>
        <w:widowControl/>
        <w:jc w:val="both"/>
        <w:rPr>
          <w:rStyle w:val="FontStyle11"/>
          <w:color w:val="auto"/>
          <w:sz w:val="28"/>
          <w:szCs w:val="28"/>
        </w:rPr>
      </w:pPr>
      <w:r w:rsidRPr="0025624C">
        <w:rPr>
          <w:rStyle w:val="FontStyle11"/>
          <w:color w:val="auto"/>
          <w:sz w:val="28"/>
          <w:szCs w:val="28"/>
        </w:rPr>
        <w:t>БАРНАУЛ</w:t>
      </w:r>
    </w:p>
    <w:p w:rsidR="00C67A61" w:rsidRPr="0025624C" w:rsidRDefault="00C67A61" w:rsidP="00C67A61">
      <w:pPr>
        <w:pStyle w:val="Style6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Что наиболее значительное удалось сделать в 2015 году?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В 2015 году в результате проведения аукциона обеспечено заключение договора о развитии застроенной территории, выполнена работа, необходимая для формирования земельных участков и охранных зон объектов инженерной инфраструктуры электрических сетей.</w:t>
      </w:r>
    </w:p>
    <w:p w:rsidR="00C67A61" w:rsidRPr="0025624C" w:rsidRDefault="00C67A61" w:rsidP="00C67A61">
      <w:pPr>
        <w:pStyle w:val="Style6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Какие наиболее трудные проблемы не удалось решить в прошедшем</w:t>
      </w:r>
    </w:p>
    <w:p w:rsidR="00C67A61" w:rsidRPr="0025624C" w:rsidRDefault="00C67A61" w:rsidP="00C67A61">
      <w:pPr>
        <w:pStyle w:val="Style5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году?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В рамках реализации Закона Алтайского края от 09.11.2015 №98-ЗС «О бесплатном предоставлении земельных участков» осуществляется учет граждан, имеющих трех и более детей, желающих приобрести земельные участки для строительства жилого дома, и предоставление земельных участков данной категории граждан. Проблема предоставления участков заключается в отсутствии на территории муниципального образования свободных земельных участков, обеспеченных инженерной инфраструктурой.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Проблемы оказания муниципальных услуг в электронном виде вызваны нежеланием заявителей обращаться за предоставлением услуг с использованием информационно-телекоммуникационных сетей общего пользования. Для решения данных проблем обеспечено информирование населения о возможности получения услуг в электронном виде, помощь при регистрации на интернет-сайте.</w:t>
      </w:r>
    </w:p>
    <w:p w:rsidR="00C67A61" w:rsidRPr="0025624C" w:rsidRDefault="00C67A61" w:rsidP="00C67A61">
      <w:pPr>
        <w:pStyle w:val="Style5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Какие задачи стоят в 2016 году?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- оформление земельных участков в муниципальную собственность;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- обеспечение поступлений платежей от использования земельных участков в бюджет города. Проведение мероприятий по взысканию задолженности по договорам аренды земельных участков, находящихся в муниципальной собственности;</w:t>
      </w:r>
    </w:p>
    <w:p w:rsidR="00C67A61" w:rsidRPr="0025624C" w:rsidRDefault="00C67A61" w:rsidP="00C67A61">
      <w:pPr>
        <w:pStyle w:val="Style4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подготовка земельных участков муниципальной собственности для продажи с аукционов;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- ведение учета граждан, имеющих трех и более детей, и предоставление земельных участков в рамках реализации Закона Алтайского края от 09.11.2015 №98-ЗС «О бесплатном предоставлении земельных участков»;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- обеспечение городского хозяйства и населения городского округа топографо-геодезической информацией. Контроль и приемка топографо-геодезических работ, выполняемых на территории городского округа - города Барнаула.</w:t>
      </w:r>
    </w:p>
    <w:p w:rsidR="00C67A61" w:rsidRPr="0025624C" w:rsidRDefault="00C67A61" w:rsidP="00C67A61">
      <w:pPr>
        <w:pStyle w:val="Style5"/>
        <w:widowControl/>
        <w:jc w:val="both"/>
        <w:rPr>
          <w:rStyle w:val="FontStyle15"/>
          <w:b/>
          <w:color w:val="auto"/>
          <w:spacing w:val="0"/>
          <w:sz w:val="28"/>
          <w:szCs w:val="28"/>
        </w:rPr>
      </w:pPr>
      <w:r w:rsidRPr="0025624C">
        <w:rPr>
          <w:rStyle w:val="FontStyle15"/>
          <w:b/>
          <w:color w:val="auto"/>
          <w:spacing w:val="0"/>
          <w:sz w:val="28"/>
          <w:szCs w:val="28"/>
        </w:rPr>
        <w:t>Имущественные отношения</w:t>
      </w:r>
    </w:p>
    <w:p w:rsidR="00C67A61" w:rsidRPr="0025624C" w:rsidRDefault="00C67A61" w:rsidP="00C67A61">
      <w:pPr>
        <w:pStyle w:val="Style5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Что наиболее значительное удалось сделать в 2015 году?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По итогам года в Реестре объектов муниципальной собственности значится 40744 объекта, в том числе 35496 объектов недвижимого имущества и 5248 объектов движимого имущества.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Из общего количества объектов недвижимости, занесенных в Реестр, на 11308 зарегистрировано право муниципальной собственности.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Реестр объектов муниципальной собственности включает 358 организаций, среди них 17 муниципальных предприятий, 333 муниципальных учреждения, в том числе 28 органов местного самоуправления, 7 открытых акционерных обществ и 1 общество с ограниченной ответственностью, акции (доли) в уставном капитале которых принадлежат муниципальному образованию городской округ - город Барнаул Алтайского края.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lastRenderedPageBreak/>
        <w:t>Из 17 зарегистрированных муниципальных предприятий, 13 осуществляют свою деятельность в соответствии с уставами и 4 находятся в стадии ликвидации или банкротства.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Из 7 акционерных обществ с прибылью осуществляют деятельность 6 обществ, в 5-ти муниципалитет владеет контрольным пакетом акций.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 xml:space="preserve"> Общий план неналоговых доходов на 2015 год за использование муниципального имущества составил 395,5 млн. рублей, фактически за указанный период в бюджет города поступило 457,5 млн. рублей (115,7% от плана).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В целях пополнения бюджета города за счет доходов от приватизации объектов муниципальной собственности в прогнозный план приватизации муниципального имущества на 2015 год включены 115 объектов недвижимости, реализован 41 объект. Кроме этого, в течение 2015 года заключено 35 договоров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В перечне бесхозяйных объектов числятся объекты инженерной инфраструктуры протяженностью 552,2 км (на 01.01.2015 года 434,0 км), увеличение произошло в основном за счет вновь выявленных объектов водопроводно-канализационного хозяйства и газовых сетей пригородной зоны.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На оформление бесхозяйных объектов в 2015 году согласно программе израсходовано около 4 млн.рублей. В результате на 19,74 км сетей изготовлены топографические съемки, на 135,9 км - технические паспорта, на 168,2 км -технические планы. За 2015 год поставлены на учет в Управлении Федеральной службы государственной регистрации, кадастра и картографии по Алтайскому краю 104 объекта инженерной инфраструктуры протяженностью 178,5 км и 3 нежилых помещения. Зарегистрировано право муниципальной собственности на 55 объектов протяженностью 72,8 км, поданы исковые заявления в суд для признания права муниципальной собственности на 22 объекта инженерной инфраструктуры протяженностью 55 км.</w:t>
      </w:r>
    </w:p>
    <w:p w:rsidR="00C67A61" w:rsidRPr="0025624C" w:rsidRDefault="00C67A61" w:rsidP="00C67A61">
      <w:pPr>
        <w:pStyle w:val="Style2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В 2015 году за счет средств краевого бюджета проведены мероприятия по благоустройству кладбищ на 4,2 млн. рублей - отремонтированы межквартальные дороги и ограждения на муниципальных кладбищах. За счет средств городского бюджета в ходе капитального ремонта восстановлено 60 объектов инженерной инфраструктуры на 142,5 млн.рублей.</w:t>
      </w:r>
    </w:p>
    <w:p w:rsidR="00C67A61" w:rsidRPr="0025624C" w:rsidRDefault="00C67A61" w:rsidP="00C67A61">
      <w:pPr>
        <w:pStyle w:val="Style5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Какие наиболее трудные проблемы не удалось решить в прошедшем</w:t>
      </w:r>
    </w:p>
    <w:p w:rsidR="00C67A61" w:rsidRPr="0025624C" w:rsidRDefault="00C67A61" w:rsidP="00C67A61">
      <w:pPr>
        <w:pStyle w:val="Style5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году?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1. Передача в пользование эксплуатирующим организациям объектов теплоснабжения и водоснабжения в соответствии с требованиями Федерального закона от 27.07.2010 № 190-ФЗ «О теплоснабжении», Федерального закона от 07.12.2011 № 416-ФЗ «О водоснабжении и водоотведении», а также Федерального закона от 21.07.2005 №115-ФЗ «О концессионных соглашениях».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 xml:space="preserve">2. В соответствии с Посланием Президента Российской Федерации Федеральному Собранию Российской Федерации велась работа в части приватизации муниципальной собственности. Однако, значительная часть объектов, включаемых в прогнозный план приватизации, представляет собой нежилые помещения, </w:t>
      </w:r>
      <w:r w:rsidRPr="0025624C">
        <w:rPr>
          <w:rStyle w:val="FontStyle14"/>
          <w:color w:val="auto"/>
          <w:sz w:val="28"/>
          <w:szCs w:val="28"/>
        </w:rPr>
        <w:lastRenderedPageBreak/>
        <w:t xml:space="preserve">расположенные в подвалах многоквартирных домов и (или) находится в неудовлетворительном техническом состоянии. В связи с чем, рынок спроса на данные объекты значительно ниже нежилых помещений, находящихся в новых торговых центрах, административных зданиях. </w:t>
      </w:r>
      <w:r w:rsidRPr="0025624C">
        <w:rPr>
          <w:rStyle w:val="FontStyle15"/>
          <w:color w:val="auto"/>
          <w:spacing w:val="0"/>
          <w:sz w:val="28"/>
          <w:szCs w:val="28"/>
        </w:rPr>
        <w:t>Какие задачи стоят в 2016 году?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- выполнение плана неналоговых доходов на 2016 год;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- продолжение работы по реализации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- оформление бесхозяйных объектов инженерной инфраструктуры в муниципальную собственность в соответствии с утвержденной программой на 2016 год;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- усиление работы по повышению эффективности использования муниципальной собственности, в том числе сокращение задолженности по арендной плате;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- проведение инвентаризации объектов муниципальной собственности, обеспечение полноты и достоверности реестра муниципальной собственности;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- обеспечение сохранности и повышения эффективности контроля за целевым использованием имущества, находящегося в муниципальной собственности.</w:t>
      </w:r>
    </w:p>
    <w:p w:rsidR="00C67A61" w:rsidRPr="0025624C" w:rsidRDefault="00C67A61" w:rsidP="00C67A61">
      <w:pPr>
        <w:pStyle w:val="Style6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Считаем целесообразным проведение конференции по следующим вопросам:</w:t>
      </w:r>
    </w:p>
    <w:p w:rsidR="00C67A61" w:rsidRPr="0025624C" w:rsidRDefault="00C67A61" w:rsidP="00C67A61">
      <w:pPr>
        <w:pStyle w:val="Style7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1. Заключения концессионных соглашений в отношении объектов инженерной инфраструктуры, в соответствии с действующим законодательством, и передачи в пользование данных объектов, не требующих реконструкции.</w:t>
      </w:r>
    </w:p>
    <w:p w:rsidR="0065527D" w:rsidRPr="00C67A61" w:rsidRDefault="00C67A61" w:rsidP="00C67A61">
      <w:pPr>
        <w:pStyle w:val="Style7"/>
        <w:widowControl/>
        <w:jc w:val="both"/>
        <w:rPr>
          <w:sz w:val="28"/>
          <w:szCs w:val="28"/>
          <w:lang w:val="en-US"/>
        </w:rPr>
      </w:pPr>
      <w:r w:rsidRPr="0025624C">
        <w:rPr>
          <w:rStyle w:val="FontStyle14"/>
          <w:color w:val="auto"/>
          <w:sz w:val="28"/>
          <w:szCs w:val="28"/>
        </w:rPr>
        <w:t>2. Передача в пользование муниципальных объектов инженерной инфраструктуры и бесхозяйных объектов, не имеющих собственника или собственник от которых отказался, в пользование специализированным организациям в соответствии с действующим законодательством.</w:t>
      </w:r>
    </w:p>
    <w:sectPr w:rsidR="0065527D" w:rsidRPr="00C67A61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C6DFA"/>
    <w:rsid w:val="0065527D"/>
    <w:rsid w:val="006E2C9A"/>
    <w:rsid w:val="00C6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A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6592</Characters>
  <Application>Microsoft Office Word</Application>
  <DocSecurity>0</DocSecurity>
  <Lines>54</Lines>
  <Paragraphs>15</Paragraphs>
  <ScaleCrop>false</ScaleCrop>
  <Company>Microsoft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2016-03-25T10:06:00Z</dcterms:created>
  <dcterms:modified xsi:type="dcterms:W3CDTF">2016-03-25T10:06:00Z</dcterms:modified>
</cp:coreProperties>
</file>