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0D" w:rsidRPr="0025624C" w:rsidRDefault="0090610D" w:rsidP="0090610D">
      <w:pPr>
        <w:pStyle w:val="Style11"/>
        <w:widowControl/>
        <w:jc w:val="both"/>
        <w:rPr>
          <w:rStyle w:val="FontStyle15"/>
          <w:b/>
          <w:color w:val="auto"/>
          <w:spacing w:val="0"/>
          <w:sz w:val="28"/>
          <w:szCs w:val="28"/>
        </w:rPr>
      </w:pPr>
      <w:r w:rsidRPr="0025624C">
        <w:rPr>
          <w:rStyle w:val="FontStyle15"/>
          <w:b/>
          <w:color w:val="auto"/>
          <w:spacing w:val="0"/>
          <w:sz w:val="28"/>
          <w:szCs w:val="28"/>
        </w:rPr>
        <w:t>БЛАГОВЕЩЕНСК</w:t>
      </w:r>
    </w:p>
    <w:p w:rsidR="0090610D" w:rsidRPr="0025624C" w:rsidRDefault="0090610D" w:rsidP="0090610D">
      <w:pPr>
        <w:pStyle w:val="Style10"/>
        <w:widowControl/>
        <w:jc w:val="both"/>
        <w:rPr>
          <w:rStyle w:val="FontStyle15"/>
          <w:b/>
          <w:sz w:val="28"/>
          <w:szCs w:val="28"/>
        </w:rPr>
      </w:pPr>
      <w:r w:rsidRPr="0025624C">
        <w:rPr>
          <w:rStyle w:val="FontStyle15"/>
          <w:b/>
          <w:color w:val="auto"/>
          <w:spacing w:val="0"/>
          <w:sz w:val="28"/>
          <w:szCs w:val="28"/>
        </w:rPr>
        <w:t>Имущественные отношения</w:t>
      </w:r>
    </w:p>
    <w:p w:rsidR="0090610D" w:rsidRPr="0025624C" w:rsidRDefault="0090610D" w:rsidP="0090610D">
      <w:pPr>
        <w:pStyle w:val="Style10"/>
        <w:widowControl/>
        <w:jc w:val="both"/>
        <w:rPr>
          <w:rStyle w:val="FontStyle16"/>
          <w:color w:val="auto"/>
          <w:spacing w:val="0"/>
          <w:sz w:val="28"/>
          <w:szCs w:val="28"/>
        </w:rPr>
      </w:pPr>
      <w:r w:rsidRPr="0025624C">
        <w:rPr>
          <w:rStyle w:val="FontStyle16"/>
          <w:color w:val="auto"/>
          <w:spacing w:val="0"/>
          <w:sz w:val="28"/>
          <w:szCs w:val="28"/>
        </w:rPr>
        <w:t>Что значимого сделано в 2015 году.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Одной из задач администрации города Благовещенска является обеспечение поступления неналоговых доходов в городской бюджет от использования муниципального имущества, в том числе земельных участков, находящихся на территории муниципального образования.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По итогам 2015 года в бюджет города поступили денежные средства в размере 470,0 млн.руб. или 104,1 % годового плана.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В целях пополнения доходной части городского бюджета в 2015 году: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1. Осуществлялся контроль за полным и своевременным поступлением в бюджет доходов от аренды земельных участков и от продажи права на заключение договоров аренды земельных участков, аренды имущества. При возникновении задолженности арендаторам направлялись претензии о погашении задолженности, исковые заявления в суд.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За 2015 год предъявлено 720 претензий о погашении задолженности по арендной плате за землю, уплате пени по договорам аренды земельных участков на сумму 84,4 млн.руб. В добровольном порядке удовлетворено 275 претензий (с учетом поданных в 2014 году) на общую сумму 16,6 млн.руб.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Предъявлено 111 исковых заявлений по взысканию задолженности по арендной плате за земельные участки на сумму 37,4 млн.руб. Удовлетворено 89 исков на сумму 33,6 млн.руб., взыскано средств по искам - 21,2 млн.руб. (с учетом исков, предъявленных и удовлетворенных в 2014 году), по 21 исковому заявлению заявлен отказ в связи с добровольной оплатой на сумму 2,9 млн.руб.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В части осуществления претензионной (досудебной) работы в отношении арендной платы за муниципальное имущество направлено 53 претензии на общую сумму 17,1 млн.руб. (основной долг - 14,0 млн.руб., пеня - 3,1 млн.руб.), направлены исковые заявления в суд.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2. Проведено 20 аукционов в отношении 282 земельных участков (в том числе было выставлено на торги 109 земельных участков и право заключения договоров аренды 173 участков), из них: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- продано 15 земельных участков, общей площадью 2,5 га, на общую сумму 43,0 млн.руб.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- заключены договоры аренды в отношении 27 земельных участков, общей площадью 0,94 га, сумма арендной платы, внесенная в бюджет составила 18,6 млн.руб.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3. Проведена инвентаризация договоров аренды земельных участков, предоставленных</w:t>
      </w:r>
      <w:r w:rsidRPr="0025624C">
        <w:rPr>
          <w:rStyle w:val="FontStyle15"/>
          <w:color w:val="auto"/>
          <w:sz w:val="28"/>
          <w:szCs w:val="28"/>
        </w:rPr>
        <w:t xml:space="preserve"> </w:t>
      </w:r>
      <w:r w:rsidRPr="0025624C">
        <w:rPr>
          <w:rStyle w:val="FontStyle15"/>
          <w:color w:val="auto"/>
          <w:spacing w:val="0"/>
          <w:sz w:val="28"/>
          <w:szCs w:val="28"/>
        </w:rPr>
        <w:t>для</w:t>
      </w:r>
      <w:r w:rsidRPr="0025624C">
        <w:rPr>
          <w:rStyle w:val="FontStyle15"/>
          <w:color w:val="auto"/>
          <w:sz w:val="28"/>
          <w:szCs w:val="28"/>
        </w:rPr>
        <w:t xml:space="preserve"> </w:t>
      </w:r>
      <w:r w:rsidRPr="0025624C">
        <w:rPr>
          <w:rStyle w:val="FontStyle15"/>
          <w:color w:val="auto"/>
          <w:spacing w:val="0"/>
          <w:sz w:val="28"/>
          <w:szCs w:val="28"/>
        </w:rPr>
        <w:t>многоэтажного</w:t>
      </w:r>
      <w:r w:rsidRPr="0025624C">
        <w:rPr>
          <w:rStyle w:val="FontStyle15"/>
          <w:color w:val="auto"/>
          <w:sz w:val="28"/>
          <w:szCs w:val="28"/>
        </w:rPr>
        <w:t xml:space="preserve"> </w:t>
      </w:r>
      <w:r w:rsidRPr="0025624C">
        <w:rPr>
          <w:rStyle w:val="FontStyle15"/>
          <w:color w:val="auto"/>
          <w:spacing w:val="0"/>
          <w:sz w:val="28"/>
          <w:szCs w:val="28"/>
        </w:rPr>
        <w:t>жилищного</w:t>
      </w:r>
      <w:r w:rsidRPr="0025624C">
        <w:rPr>
          <w:rStyle w:val="FontStyle15"/>
          <w:color w:val="auto"/>
          <w:sz w:val="28"/>
          <w:szCs w:val="28"/>
        </w:rPr>
        <w:t xml:space="preserve"> </w:t>
      </w:r>
      <w:r w:rsidRPr="0025624C">
        <w:rPr>
          <w:rStyle w:val="FontStyle15"/>
          <w:color w:val="auto"/>
          <w:spacing w:val="0"/>
          <w:sz w:val="28"/>
          <w:szCs w:val="28"/>
        </w:rPr>
        <w:t>строительства. По результатам инвентаризации по 24 земельным участкам начислена арендная плата в размере двукратной налоговой ставки земельного налога, сумма дополнительных поступлений в городской бюджет составила порядка 1,1 млн. руб.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4. В рамках реализации прогнозного плана приватизации муниципального имущества реализовано 7 объектов недвижимого имущества, 4 объекта из которых проданы в соответствии с Федеральным законом от 21.12.2001 № 378-ФЗ, 3 объекта реализованы в соответствии с Федеральным законом от 22.07.2008 № 159-ФЗ.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В 2015 году в отношении 137 бесхозяйных объектов проведены мероприятия по выполнению кадастровых работ на изготовление технических планов.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lastRenderedPageBreak/>
        <w:t>Кроме того, в рамках имущественных отношений осуществлялся учет объектов движимого и недвижимого имущества и регистрация права муниципальной собственности. В установленном законодательством порядке в 2015 году зарегистрировано право муниципальной собственности на 2 233 объекта недвижимого имущества.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Проводится работа по оптимизации деятельности муниципальных унитарных предприятий, выявлению неконкурентоспособных предприятий, предприятий, не отвечающих требованиям действующего законодательства в части использования муниципального имущества и целесообразности осуществления уставной деятельности с учетом потребностей на рынке товаров, работ, услуг, а также предприятий, находящихся в предбанкротном состоянии.</w:t>
      </w:r>
    </w:p>
    <w:p w:rsidR="0090610D" w:rsidRPr="0025624C" w:rsidRDefault="0090610D" w:rsidP="0090610D">
      <w:pPr>
        <w:pStyle w:val="Style8"/>
        <w:widowControl/>
        <w:jc w:val="both"/>
        <w:rPr>
          <w:rStyle w:val="FontStyle16"/>
          <w:b/>
          <w:color w:val="auto"/>
          <w:spacing w:val="0"/>
          <w:sz w:val="28"/>
          <w:szCs w:val="28"/>
        </w:rPr>
      </w:pPr>
      <w:r w:rsidRPr="0025624C">
        <w:rPr>
          <w:rStyle w:val="FontStyle16"/>
          <w:b/>
          <w:color w:val="auto"/>
          <w:spacing w:val="0"/>
          <w:sz w:val="28"/>
          <w:szCs w:val="28"/>
        </w:rPr>
        <w:t>Проблемные вопросы.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Сохраняется ряд проблем в достижении эффективного управления муниципальной собственностью, сложными остаются следующие вопросы: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1. При постановке бесхозяйных объектов недвижимого имущества и сооружений на государственный кадастровый учет ФГБУ «ФКП Росреестра по Амурской области» отказывает в постановке на кадастровый учет, мотивируя тем, что сначала необходимо обратиться в орган, осуществляющий государственную регистрацию прав на недвижимое имущество и сделок с ним. Руководствуясь п. 1.2 ст. 20 Федерального Закона от 21.07.1997 № 122-ФЗ не допускается осуществление государственной регистрации права на объект недвижимого имущества, который не считается учтенным в соответствии с Федеральным законом «О государственном кадастре недвижимости». В связи с чем, Управление Росреестра по Амурской области отказывает в постановке на учет бесхозяйных объектов без постановки на ГКН.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2. Возникают сложности при заключении концессионных соглашений в отношении вновь построенных объектов инженерной инфраструктуры либо объектов, ранее являвшихся бесхозяйными, в связи с отсутствием информации о ценах, значениях и параметрах, включаемых в конкурсную документацию и необходимых для расчета тарифов.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3. Не определены порядок и условия передачи в собственность муниципального образования непригодного для эксплуатации имущества или имущества, требующего капитального ремонта, в том числе порядок возмещения местным бюджетам дополнительных расходов, возникающих в связи с принятием указанного имущества в муниципальную собственность.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4. Федеральным законом от 23.06.2014 № 171-ФЗ с 01.03.2015 внесены существенные изменения в Земельный кодекс РФ. На практике при реализации норм, содержащихся в Земельном кодексе РФ, возникают некоторые трудности.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Так, одним из изменений в Земельном кодексе РФ в редакции Федерального закона от 23.06.2014 № 171-ФЗ является установление возможности обращения любого из заинтересованных правообладателей здания, сооружения или помещения в нем за оформлением договора аренды земельного участка с множественностью лиц на стороне арендатора (ст. 39.20 ЗКРФ).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 xml:space="preserve">При этом в течение тридцати дней со дня получения указанного заявления от одного из правообладателей здания, сооружения или помещений в них уполномоченный орган направляет иным правообладателям здания, сооружения или помещений в них, имеющим право на заключение договора аренды земельного участка, </w:t>
      </w:r>
      <w:r w:rsidRPr="0025624C">
        <w:rPr>
          <w:rStyle w:val="FontStyle15"/>
          <w:color w:val="auto"/>
          <w:spacing w:val="0"/>
          <w:sz w:val="28"/>
          <w:szCs w:val="28"/>
        </w:rPr>
        <w:lastRenderedPageBreak/>
        <w:t>подписанный проект договора аренды с множественностью лиц на стороне арендатора.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Тогда как, на практике определить всех собственников помещений в здании, находящемся на земельном участке, представляется затруднительным, что влечет за собой невозможность реализации данной нормы.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5. Пунктом 2 статьи 39.6 Земельного кодекса РФ установлен ограниченный перечень оснований для предоставления в аренду земельных участков, находящихся в государственной или муниципальной собственности, без проведения торгов.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В частности, подпунктом 9 пункта 2 статьи 39.6 Земельного кодекса РФ предусмотрено, что земельный участок, на котором расположены здания, сооружения, предоставляется в аренду без проведения торгов собственникам этих объектов недвижимости, а также лицам, которым эти объекты предоставлены на праве хозяйственного ведения или оперативного управления.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Вместе с тем, в Земельном кодексе РФ не предусмотрен порядок предоставления земельных участков, находящихся в государственной или муниципальной собственности, лицам, которым объекты недвижимости предоставлены в пользование на условиях аренды.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В связи с этим возникает правовая неопределенность и, как следствие, нарушение прав указанных лиц на предоставление земельных участков.</w:t>
      </w:r>
    </w:p>
    <w:p w:rsidR="0090610D" w:rsidRPr="0025624C" w:rsidRDefault="0090610D" w:rsidP="0090610D">
      <w:pPr>
        <w:pStyle w:val="Style8"/>
        <w:widowControl/>
        <w:jc w:val="both"/>
        <w:rPr>
          <w:rStyle w:val="FontStyle16"/>
          <w:color w:val="auto"/>
          <w:spacing w:val="0"/>
          <w:sz w:val="28"/>
          <w:szCs w:val="28"/>
        </w:rPr>
      </w:pPr>
      <w:r w:rsidRPr="0025624C">
        <w:rPr>
          <w:rStyle w:val="FontStyle16"/>
          <w:color w:val="auto"/>
          <w:spacing w:val="0"/>
          <w:sz w:val="28"/>
          <w:szCs w:val="28"/>
        </w:rPr>
        <w:t>Какие задачи стоят в 2016 году?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1. Продолжить работу по обеспечению поступления неналоговых доходов в бюджет города, по выполнению прогнозного плана приватизации объектов муниципальной собственности, своевременному сбору арендных платежей от использования муниципального имущества.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2. Осуществление контроля за использованием и обеспечением сохранности муниципального имущества.</w:t>
      </w:r>
    </w:p>
    <w:p w:rsidR="0090610D" w:rsidRPr="0025624C" w:rsidRDefault="0090610D" w:rsidP="0090610D">
      <w:pPr>
        <w:pStyle w:val="Style3"/>
        <w:widowControl/>
        <w:jc w:val="both"/>
        <w:rPr>
          <w:rStyle w:val="FontStyle15"/>
          <w:b/>
          <w:color w:val="auto"/>
          <w:spacing w:val="0"/>
          <w:sz w:val="28"/>
          <w:szCs w:val="28"/>
        </w:rPr>
      </w:pPr>
      <w:r w:rsidRPr="0025624C">
        <w:rPr>
          <w:rStyle w:val="FontStyle15"/>
          <w:b/>
          <w:color w:val="auto"/>
          <w:spacing w:val="0"/>
          <w:sz w:val="28"/>
          <w:szCs w:val="28"/>
        </w:rPr>
        <w:t>Земельные отношения</w:t>
      </w:r>
    </w:p>
    <w:p w:rsidR="0090610D" w:rsidRPr="0025624C" w:rsidRDefault="0090610D" w:rsidP="0090610D">
      <w:pPr>
        <w:pStyle w:val="Style2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В 2015 году: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- проведены землеустроительные работы по определению местоположения границ земель промышленности и иного специального назначения в составе городского округа в соответствии с положениями Генерального плана города Благовещенска;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- заключен муниципальный контракт на выполнение землеустроительных работ по определению местоположения границ городского округа (исполнение запланировано на 2016 год);</w:t>
      </w:r>
    </w:p>
    <w:p w:rsidR="0090610D" w:rsidRPr="0025624C" w:rsidRDefault="0090610D" w:rsidP="0090610D">
      <w:pPr>
        <w:pStyle w:val="Style11"/>
        <w:widowControl/>
        <w:jc w:val="both"/>
        <w:rPr>
          <w:rStyle w:val="FontStyle15"/>
          <w:color w:val="auto"/>
          <w:spacing w:val="0"/>
          <w:sz w:val="28"/>
          <w:szCs w:val="28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- проведен мониторинг земельных участков, предоставленных в аренду для строительства (срок договоров аренды которых истек), по результатам которого обследовано 848 участков. Из них 51 участков не используются, 4 используются с нарушениями. В отношении неиспользуемых земельных участков администрацией города будет проведена работа по прекращению прав аренды.</w:t>
      </w:r>
    </w:p>
    <w:p w:rsidR="0065527D" w:rsidRPr="0090610D" w:rsidRDefault="0090610D" w:rsidP="0090610D">
      <w:pPr>
        <w:pStyle w:val="Style2"/>
        <w:widowControl/>
        <w:jc w:val="both"/>
        <w:rPr>
          <w:sz w:val="28"/>
          <w:szCs w:val="28"/>
          <w:lang w:val="en-US"/>
        </w:rPr>
      </w:pPr>
      <w:r w:rsidRPr="0025624C">
        <w:rPr>
          <w:rStyle w:val="FontStyle15"/>
          <w:color w:val="auto"/>
          <w:spacing w:val="0"/>
          <w:sz w:val="28"/>
          <w:szCs w:val="28"/>
        </w:rPr>
        <w:t>На 2016 год запланировано выполнение землеустроительных работ по определению местоположения границ городского округа, а также границ населенных пунктов, входящих в состав городского округа.</w:t>
      </w:r>
    </w:p>
    <w:sectPr w:rsidR="0065527D" w:rsidRPr="0090610D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C6DFA"/>
    <w:rsid w:val="0065527D"/>
    <w:rsid w:val="006E2C9A"/>
    <w:rsid w:val="0077336E"/>
    <w:rsid w:val="008840E9"/>
    <w:rsid w:val="008A3C55"/>
    <w:rsid w:val="0090610D"/>
    <w:rsid w:val="00C6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6E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7336</Characters>
  <Application>Microsoft Office Word</Application>
  <DocSecurity>0</DocSecurity>
  <Lines>61</Lines>
  <Paragraphs>17</Paragraphs>
  <ScaleCrop>false</ScaleCrop>
  <Company>Microsoft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2016-03-25T10:09:00Z</dcterms:created>
  <dcterms:modified xsi:type="dcterms:W3CDTF">2016-03-25T10:09:00Z</dcterms:modified>
</cp:coreProperties>
</file>