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23" w:rsidRPr="00A63DC1" w:rsidRDefault="00772B23" w:rsidP="00A63DC1">
      <w:pPr>
        <w:spacing w:after="0" w:line="240" w:lineRule="auto"/>
        <w:ind w:firstLine="567"/>
        <w:jc w:val="both"/>
        <w:rPr>
          <w:rFonts w:ascii="Times New Roman" w:hAnsi="Times New Roman" w:cs="Times New Roman"/>
          <w:b/>
          <w:bCs/>
          <w:sz w:val="28"/>
          <w:szCs w:val="28"/>
        </w:rPr>
      </w:pPr>
      <w:r w:rsidRPr="00A63DC1">
        <w:rPr>
          <w:rFonts w:ascii="Times New Roman" w:hAnsi="Times New Roman" w:cs="Times New Roman"/>
          <w:b/>
          <w:bCs/>
          <w:sz w:val="28"/>
          <w:szCs w:val="28"/>
        </w:rPr>
        <w:t>ЯКУТСК</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Экономическая политика муниципалитета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1. Что наиболее значительное удалось сделать в 2019 году?</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Строительство жилья и социальных объектов</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Активно ведется работа по реализации муниципальной адресной программы «Переселение граждан из аварийного жилищного фонда на 2019-2025 годы».</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первый этап программы включены 244 жилых помещения из 24 аварийных многоквартирных домов общей площадью 7 737,5 кв. м., в которых проживает 733 человека.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Помимо адресной программы переселения граждан из аварийного жилищного фонда, ведется работа в рамках муниципальной программы с объемом финансирования 100,2 млн. руб. В 2019 году общая площадь расселенных квартир составила – 3 109,08 квадратных метров, количество расселяемых квартир – 77 квартир, общее количество переселяемых – 216 человек. Проведены мероприятия по освобождению и сносу 8 домов: ул. 3-ая Академическая, д. 20; ул. Кузьмина, д. 17/1; ул. Семена Данилова, д. 5/2; ул. Воинская, д. 5; ул. Дзержинского, д. 78; ул. Дзержинского, 36/2; ул. Богдана Чижика, д. 21; ул. Бестужева – Марлинского, д. 36/2б.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На конец 2019 года общая площадь введенных жилых домов составила 370,0 тыс. кв.м., в том числе площадь введенных многоквартирных жилых домов – 292,8 тыс. кв.м. Продолжается комплексная застройка кварталов. Введены 7 жилых домов в 203 микрорайоне с нежилыми помещениями и подземными автостоянками, ведутся работы по инженерному обеспечению квартала. В комплексе «Прометей» в Автодорожном округе сдано 3 многоквартирных дома.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По соглашению о государственно-частном партнерстве между Окружной администрацией города Якутска, Правительством Республики Саха (Якутия) и ООО «Газэнергомонтаж» завершено строительство и введены в эксплуатацию:</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- 24 декабря 2018 года - Детский сад на 315 мест в 203 микрорайоне города Якутска (Д-3); 28 декабря 2018 года – УДО Центр детского творчества «Детская школа искусств №2» с концертным залом в 203 микрорайоне и УДО Центр детского творчества «Smart Библиотека» в 203 микрорайоне, торжественное открытие объектов состоялось в 2019 году;</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 в 2019 году - Школа № 6 в районе ДСК на 500 мест, Школа № 25 по ул. Якова Потапова на 350 мест, Национальная школа «Айыы кыыьата» в 203 микрорайоне на 550 мест, детский сад №75 «Ивушка» по ул. Ильменской, детский сад в 203 микрорайоне Д-3 на 315 мест и детский сад № 4 Сырдах п. Тулагино. Выданы разрешения на ввод в эксплуатацию многофункционального развлекательного комплекса «Дом культуры им. Ю.А. Гагарина» с киноконцертным залом в кв. Новопортовской и второго детского сада в 203 микрорайоне (Д-1) на 315 мест.</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целях повышения доступности социальных объектов для маломобильных групп населения построены пандусы на 10 объектах на общую сумму 4,14 млн. руб., в том числе на объектах образования – 4 пандуса (МОБУ «Городская классическая гимназия», МОБУ «ЯГНГ», МДОБУ детский сад № 7 «Остров сокровищ», МДОБУ детский сад № 5 «Радуга»), жилого фонда – 6 пандусов.</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муниципальной программы «Комплексное развитие систем коммунальной инфраструктуры городского округа город Якутск на 2014-2032 годы» проведены строительно-монтажные работы по обеспечению инфраструктурой для подключения к газораспределительным сетям земельных участков, предоставленных многодетным семьям: в с. Хатассы - 945 участка, в квартале «Северный» - 184 участка. Общий объем финансирования мероприятий составляет 142 млн. руб.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Благоустройство и жизнеобеспечение </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План по проведению работ по строительству, реконструкции и капитальному ремонту на 19 объектах улично-дорожной сети городского округа «город Якутск» протяженностью 25,95 км, в рамках реализации национального проекта «Безопасные и качественные автомобильные дороги» выполнен в полном объеме.</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На конец 2019 года восстановлены 4700 кв. м. верхних слоев асфальтобетонных покрытий на отдельных участках дороги. Работы проводились по следующим участкам: Борисовка 2-й квартал на площади 2800 кв. м. и ул. Автодорожная (участок от улицы Автодорожная до улицы Автодорожная д.10/2) на площади 1600 кв. м.</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2019 году были признаны бесхозяйными всего 539 объектов (в 1,5 раза больше показателя 2018 года и в 3,7 раза показателя 2017 года), в том числе: сети тепловодоснабжения - 75 ед., сети канализации - 30 ед., электрические сети - 68 ед., газовые сети - 26 ед., нежилые помещения - 1 ед., септик - 1 ед., светильник - 1 ед., гаражи, контейнеры - 337 ед.</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Всего в реестре бесхозяйного имущества числится 8 675 объектов недвижимого имущества. Паспортизировано в 2019 году 1 115 бесхозяйных объектов, в том числе 596 объектов газоснабжения, в 2018 году паспортизировано 54 объекта. Поставлено на учет в качестве бесхозяйного имущества в Управлении Росреестра по РС(Я) 46 объектов. В 2019 году признано право муниципальной собственности на 212 объектов.</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действия Закона о предоставлении земельных участков гражданам, имеющим трех и более детей, начиная с декабря 2011 года, на территории городского округа состояло в очереди 9 449 семей, из них получили и оформили земельные участки 3 222 семьи.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2019 году внедрена система обеспечения прозрачности предоставления земельных участков на базе геопортала города Якутска </w:t>
      </w:r>
      <w:hyperlink r:id="rId5" w:history="1">
        <w:r w:rsidRPr="00A63DC1">
          <w:rPr>
            <w:rFonts w:ascii="Times New Roman" w:hAnsi="Times New Roman" w:cs="Times New Roman"/>
            <w:color w:val="0563C1"/>
            <w:sz w:val="28"/>
            <w:szCs w:val="28"/>
          </w:rPr>
          <w:t>http://map.yakadm.ru/</w:t>
        </w:r>
      </w:hyperlink>
      <w:r w:rsidRPr="00A63DC1">
        <w:rPr>
          <w:rFonts w:ascii="Times New Roman" w:hAnsi="Times New Roman" w:cs="Times New Roman"/>
          <w:sz w:val="28"/>
          <w:szCs w:val="28"/>
        </w:rPr>
        <w:t>. Данная система позволяет сделать процедуру предоставления земельных участков максимально прозрачной и понятной для населения. Каждый заявитель, изъявивший желание получить земельный участок, сможет следить за ходом рассмотрения его заявления о предоставлении земельного участка в разделе «Отслеживание заявлений», предоставляющем оперативную и достоверную информацию о работе с пространственными данными. По номеру обращения на интерактивной карте заявитель может наглядно увидеть статус рассмотрения обращения и месторасположение испрашиваемого земельного участка.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декабре 2019 года Окружной администрацией утвержден реестр мест (площадок) накопления твердых коммунальных отходов на территории городского округа «город Якутск». Реестр размещен на официальном сайте Окружной администрации города Якутска.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Поддержка и развитие предпринимательства </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Общий объем средств, направленный на финансовую поддержку субъектов малого и среднего предпринимательства города Якутска в виде субсидий и микрозаймов в 2019 году был увеличен на 4% по сравнению с 2018 годом и составил 101 350,0 тыс. руб.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реализации муниципальной программы в 2019 году получили финансовую поддержку в виде микрозаймов 34 субъекта малого и среднего предпринимательства на общую сумму 79 450 тыс. руб.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За счет предоставленных микрозаймов Микрокредитной компанией «Фонд развития городского округа «город Якутск» приобретены 20 новых автобусов для городских маршрутов на общую сумму 64,2 млн. руб.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целях пополнения автобусного парка МУП «ЯПАК» приобретено 8 автобусов (1 автобус марки ЛиАЗ, оснащенный оборудованием для перевозки маломобильной группы населения, 7 детских автобусов – 1 автобус марки ЛиАЗ, 1 автобус марки ПАЗ, 5 автобусов марки КАВЗ) на общую сумму 53,5 млн. руб.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Всего в 2019 г. на территории городского округа обустроено и введено в эксплуатацию 4 новых теплых автобусных остановки.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Количество нестационарных торговых объектов (далее - НТО) по сравнению с 2018 годом возросло с 474 объектов до 486. На комиссии по внесению изменений и дополнений в схему размещения НТО утверждено 19 новых мест, которые включены в схему размещения НТО для проведения аукционов.</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Развитие агропояса Якутска </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На территории городского округа действуют 144 предприятия, осуществляющие сельскохозяйственную деятельность, в том числе 26 сельскохозяйственных организаций, 11 сельскохозяйственных потребительских кооперативов и 89 крестьянских фермерский хозяйств и индивидуальных предпринимателей.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2019 году существенно увеличился валовый надой молока ООО «Багарах» - 868,3 тн. Рост к уровню 2018 года составил 85%. Сдача молока перерабатывающим предприятиям увеличена в 2 раза, удой молока с одной дойной коровы увеличен также в 2 раза. Показатели надоя молока предприятием увеличены за счет сбалансированного кормления и правильного содержания скота.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Рекордных урожаев в 2019 году добились растениеводы. Валовый сбор зерновых культур превысил показатели 2018 года в 11 раз и достиг 328,5 тонн. Овощей выращено 8 819,4 тонны, что на 4 % превысило результат 2018 года.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подпрограммы «Развитие кормопроизводства» восстановлены заброшенные пашни площадью 368 га, построены изгороди протяженностью 14 км, приобретено 17 единиц сельскохозяйственной техники, построена силосная траншея мощностью 500 тонн.</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Продолжается строительство 3-ей очереди 1-го этапа круглогодичного тепличного комплекса «Саюри» в селе Сырдах Тулагино-Кильдямского наслега площадью 1,2 Га по выращиванию огурцов, помидоров и зелени.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Социальная сфера и общество </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Для повышения качества и доступности дошкольного образования, начального и среднего общего образования на родном (якутском) языке утвержден «План комплексного развития сети групп и классов с родным (якутским) языком воспитания и обучения в муниципальных образовательных учреждениях городского округа «город Якутск» на 2017-2025 годы». В классах с родным (якутским) языком обучается 11 762 детей, что составляет 25% от общего числа учащихся в общеобразовательных учреждениях города Якутска.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летний период 2019 года организованным отдыхом и оздоровлением было охвачено 7 282 ребенка, в том числе 3 057 детей, находящихся в трудной жизненной ситуации. Были организованы выезды 100 детей в оздоровительные лагеря в Республику Крым.</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реализации муниципальной программы «Социальная поддержка и содействие занятости населения города Якутска на 2018-2022 гг.» всего за 2019 г. оказана материальная помощь 126 семьям на лечение детей-инвалидов на общую сумму 4 927,0 тыс. руб., 12 семьям на летний отдых на общую сумму 3 971,0 тыс. руб., была организована туристическая поездка для детей с инвалидностью в природный парк «Ленские столбы» с целью социокультурной реабилитации. В поездке приняли участие 195 детей и их родителей.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мероприятий по благоустройству жилых домов ветеранов тыла и инвалидов 1 и 2 группы, проживающих в пригородных селах города Якутска, были проведены работы по благоустройству жилых домов 15 ветеранов и 8 инвалидов 1 и 2 группы.</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2019 году впервые был проведен молодежный фестиваль среди округов и пригородных территорий городского округа «город Якутск», посвященный году Добрососедства. Фестиваль проводился в целях повышения эффективности научного и творческого потенциала молодежи для реализации инновационных проектов, направленных на решение практических задач социально-экономического развития города.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 xml:space="preserve">В течение 2019 года на территории городского округа «город Якутск» реализовано 23 народные инициативы в рамках проекта «Народный бюджет» на общую сумму 28,5 млн. руб. </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4. Какие задачи стоят в 2020 году?</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Задачи Окружной администрации города Якутска на 2020 год направлены на реализацию ключевых стратегических Указов Президента страны и Главы Республики Саха (Якутия).</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Начиная с 2021 года бюджет городского округа «город Якутск» планируется формировать бездефицитным, в связи с чем Окружной администрацией будет продолжена работа по сокращению муниципального долга, а также работа по возмещению выпадающих доходов в связи с понижением налоговых ставок по упрощенной системе налогообложения.</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мероприятий социальной политики, планируется осуществление следующих задач:</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1. Работа по внесению изменений в постановление Правительства Республики Саха (Якутия) «Об утверждении нормативов финансирования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в части включения расходов на оплату труда по прочему персоналу за счет средств субвенции с 1 января 2020 года и возмещения данных расходов за 2017 -2019 годы.</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2.</w:t>
      </w:r>
      <w:r>
        <w:rPr>
          <w:rFonts w:ascii="Times New Roman" w:hAnsi="Times New Roman" w:cs="Times New Roman"/>
          <w:sz w:val="28"/>
          <w:szCs w:val="28"/>
        </w:rPr>
        <w:t xml:space="preserve"> </w:t>
      </w:r>
      <w:r w:rsidRPr="00A63DC1">
        <w:rPr>
          <w:rFonts w:ascii="Times New Roman" w:hAnsi="Times New Roman" w:cs="Times New Roman"/>
          <w:sz w:val="28"/>
          <w:szCs w:val="28"/>
        </w:rPr>
        <w:t>Провести работу с Правительством Республики по индексации нормативов затрат на учебные расходы, направляемые на обеспечение образовательного процесса общеобразовательной организации, в расчете на одного обучающегося.</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3.</w:t>
      </w:r>
      <w:r>
        <w:rPr>
          <w:rFonts w:ascii="Times New Roman" w:hAnsi="Times New Roman" w:cs="Times New Roman"/>
          <w:sz w:val="28"/>
          <w:szCs w:val="28"/>
        </w:rPr>
        <w:t xml:space="preserve"> </w:t>
      </w:r>
      <w:r w:rsidRPr="00A63DC1">
        <w:rPr>
          <w:rFonts w:ascii="Times New Roman" w:hAnsi="Times New Roman" w:cs="Times New Roman"/>
          <w:sz w:val="28"/>
          <w:szCs w:val="28"/>
        </w:rPr>
        <w:t>Провести работу с Правительством Республики по индексация с 1 января 2020 года стоимости одного дня пребывания детей в организациях отдыха и оздоровления детей: в оздоровительных лагерях дневного пребывания, в детских лагерях труда и отдыха, палаточных лагерях, в детских загородных стационарных оздоровительных лагерях.</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4.</w:t>
      </w:r>
      <w:r>
        <w:rPr>
          <w:rFonts w:ascii="Times New Roman" w:hAnsi="Times New Roman" w:cs="Times New Roman"/>
          <w:sz w:val="28"/>
          <w:szCs w:val="28"/>
        </w:rPr>
        <w:t xml:space="preserve"> </w:t>
      </w:r>
      <w:r w:rsidRPr="00A63DC1">
        <w:rPr>
          <w:rFonts w:ascii="Times New Roman" w:hAnsi="Times New Roman" w:cs="Times New Roman"/>
          <w:sz w:val="28"/>
          <w:szCs w:val="28"/>
        </w:rPr>
        <w:t>Отработать с Правительством Республики предоставление субвенции на реализацию государственного стандарта общего образования в общеобразовательных организациях с учетом прироста контингента обучающихся с сентября месяца, а также увеличение субвенции с сентября месяца при формировании кассового плана.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связи с внесением изменений в законодательство о деятельности приютов для животных и установлением норм содержания животных, администрацией будет проведена работа по закреплению юридически за городом исполнение указанных полномочий и обеспечению своевременного предоставления финансирования из государственного бюджета городу Якутска для осуществления указанных полномочий.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2020 году будет продолжено строительство жилья и социальных объектов, капитальный ремонт дорог, благоустройство дворовых и общественных территорий, инфраструктурное обустройство земельных участков для многодетных семей.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Одной из задач городских властей на 2020 год станет проведение ремонтных работ в СОШ № 21, СОШ № 3, СОШ № 1 и во Дворце детского творчества им. Ф.И. Авдеевой, также планируется проведение укрепительных работ в СОШ № 38, СОШ № 15 и детском саду № 72.</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предстоящем году запланированы первые мероприятия по сносу и расселению 17 квартала. Первые 12 домов планируются к расселению по программе переселения из ветхого аварийного жилья.</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На 2020 год плановый объем бюджетных средств на развитие улично-дорожной сети столицы в рамках национального проекта БКАД составляет 1,5 млрд. руб. В следующем году планируется провести масштабный капитальный ремонт, строительство и реконструкцию 22 объектов улично-дорожной сети общей протяженностью 25,97 километров, а также по 11 переходящим, то есть начатым в 2019 году, объектам провести плановые работы по благоустройству, освещению и озеленению.</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Якутске ежегодно растут темпы жилищного строительства, в 2020 году будет введено не менее 300 тыс. кв. м. жилья.</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Продолжится работа по переселению граждан из аварийного жилищного фонда в рамках республиканской адресной программы и муниципальной программы.</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Ликвидация аварийного и ветхого жилья будет вестись в рамках комплексного развития застроенных территорий.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программы «Светлая столица» будет продолжена работа по обеспечению уличным освещением улиц города общей протяженностью 20 км. В целях повышения безопасности на территории городского округа, по программе «Безопасный город» будут установлены дополнительные камеры дорожного наблюдения, а также обустроены новые теплые автобусные остановки.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2020 году поставлена задача по изменению маршрутной сети городских автобусов, в связи с необходимостью расширения и продления автобусных маршрутов до новых микрорайонов города с охватом пригородных территорий и окраин.</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2020 году будет совместно с территориальными органами управлений будет проведена работа с управляющими компаниями в части повышения ответственности и оперативности работы управляющих компаний, выявления недобросовестных компаний, не справляющихся со своими обязанностями.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Будет продолжена работа по обустройству коммунальной инфраструктурой земельных участков, выделенных для многодетных семей.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приоритетных задачах на 2020 год также обеспечение бесплатным питанием всех школьников с 1-4 класс, озвученное в своем послании Президентом Российской Федерации.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регулирования продажи алкогольной продукции, будет продолжена работа по выявлению лже-кафе на территории города.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целях поддержки развитии в городском округе деятельности субъектов малого и среднего бизнеса, будет проведена работа по снижению административных барьеров, сокращению сроков предоставления муниципальных услуг для предпринимателей.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Продолжится работа по развитию безбарьерной городской среды - строительство пандусов и съездов для маломобильных групп населения. На 2020 год разрабатываются проекты 25 пандусов и подъемников, в том числе по 10 проектам ведутся работы по разработке технического задания: жилой фонд – 3 пандуса и 1 подъемник, учреждения дошкольного образования – 4 подъемника, учреждения физической культуры и спорта – 1 подъемник, административное здание с социальными учреждениями – 1 пандус.</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пилотного проекта по цифровизации городского хозяйства планируется создание базовой интеграционно-аналитической платформы, введение диспетчеризации ресурсоснабжающих организаций в Якутске с внедрением единого журнала заявок, а также другие проекты.</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Окружной администрацией города Якутска проводится дальнейшая работа по включению в реализацию национальных проектов Российской Федерации перспективных мероприятий городского округа «город Якутск». Планируемый объем финансирования мероприятий в 2020 году около 3,0 млрд. руб.</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реализации приоритетного проекта по формированию комфортной городской среды запланировано проведение работ по разработке проектно-сметной документации благоустройства территории озера Сайсары по утвержденной концепции консалтингового бюро «Стрелка» (г. Москва). Планируется проведение архитектурных конкурсов и воркшопов по созданию общественных пространств (площадей, скверов, парка культуры и отдыха).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рамках объявленного 2020 года Годом Патриотизма в Республике Саха (Якутия), одной из задач Окружной администрации является проведение в общеобразовательных учреждениях города мероприятий, направленных на патриотическое воспитание детей.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честь 75-летия Победы в Великой Отечественной войне в местности у стелы «Три сэргэ» будет создан новый современный Парк Победы. На территории паркового комплекса появятся площадь, мемориальный маршрут, водоем с фонтаном, дорожки для бега и езды на велосипедах, зоны для детей, занятий спортом, настольных игр и гамаков, фудкорта и амфитеатр. В 2020 году запланирована разработка проектно-сметной документации по созданию парка.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В 2019 году Окружная администрация приступила к работе по повышению эффективности оказания муниципальных услуг, улучшению процессов взаимодействия органов местного самоуправления с населением при оказании муниципальных услуг.</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До апреля 2020 года планируется провести аудит всех муниципальных структурных и территориальных подразделений, активно взаимодействующих с населением. В ходе аудита будет дана оценка готовности муниципальных служащих, идентифицирована роль каждого сотрудника, их опорные компетенции. Все это, вкупе со структурными преобразованиями в сфере земельно-имущественных отношений, архитектуры и градостроительства, жилищного и социального блока позволит активнее внедрять процессное управление, повысить клиентоориентированность муниципальных служащих, а также уровень удовлетворенности качеством оказываемых муниципальных услуг.</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Поставленные задачи на 2020 год по развитию города Якутска должны положительно повлиять на качество жизни горожан.</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5. Какую помощь и содействие, на Ваш взгляд, может оказать АСДГ в решении стоящих проблем в рамках своих компетенций?</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Ассоциация сибирских и дальневосточных городов в рамках своих компетенций может оказать содействие во взаимодействии с субъектами российской Федерации в целях обмена опытом в решении отраслевых задач.</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6. Укажите, пожалуйста, наиболее важные и актуальные, с Вашей точки зрения, вопросы для обсуждения их на мероприятиях АСДГ по обмену опытом.</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Актуальным вопросом для Департамента экономики является актуализация Правил благоустройства городского округа «город Якутск», обмен опытом со специалистами муниципалитетов по разработке указанных правил.</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7. Укажите, пожалуйста, наиболее важные и актуальные, с Вашей точки зрения, темы и вопросы для включения их в образовательную программу курсов повышения квалификации (учебных курсов для муниципальных служащих) специалистов данной отрасли.</w:t>
      </w:r>
    </w:p>
    <w:p w:rsidR="00772B23"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Предлагаем рассмотреть в качестве темы для включения в образовательную программу курсов повышения квалификации вопросы тарифного регулирования, в частности на жилищные услуги, на внешнее благоустройство, на платные образовательные услуги.</w:t>
      </w:r>
    </w:p>
    <w:p w:rsidR="00772B23" w:rsidRDefault="00772B23" w:rsidP="00A63DC1">
      <w:pPr>
        <w:spacing w:after="0" w:line="240" w:lineRule="auto"/>
        <w:ind w:firstLine="567"/>
        <w:jc w:val="both"/>
        <w:rPr>
          <w:rFonts w:ascii="Times New Roman" w:hAnsi="Times New Roman" w:cs="Times New Roman"/>
          <w:sz w:val="28"/>
          <w:szCs w:val="28"/>
        </w:rPr>
      </w:pP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Финансовая политика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1. Что наиболее значительное удалось сделать в 2019 году?</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1. 1. Окружная администрация г.Якутска обратилась в адрес Правительства Республики Саха (Якутия) с предложением об установлении налоговой льготы по налогу на имущество организаций в отношении имущества муниципальных учреждений, так как данный налог занимает существенную долю в расходах местного бюджета. Данное предложение отклонено.</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1.2. Проблема включения в утвержденный нормативный правовой акт Правительства Республик Саха (Якутия), устанавливающий норматив финансирования для расчета субвенции на выполнение отдельных государственных полномочий на реализацию государственного стандарта дошкольного образования из государственного бюджета РС(Я) расходов на финансирование фонда оплаты труда прочего персонала как документоведы, техники, заведующие хозяйством, специалисты по кадровой работе, программисты, инженеры по охране труда, делопроизводители, бухгалтера, а также медицинские работники. Данные расходы в настоящее время осуществляются за счет средств местного бюджета.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4. Какие задачи стоят в 2020 году?</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2.1. Работа с исполнительными органами государственной власти РС (Я) по компенсации выпадающих доходов по упрощенной системе налогообложения из государственного бюджета РС(Я) в связи с установлением Законом Республики Саха (Якутия) пониженной налоговой ставки по нему.</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2.2. Проведение анализа налоговых ставок по земельному налогу и арендной плате за землю с учетом проведенной в 2019 году новой государственной кадастровой оценки земельных участков в целях принятия решения о целесообразности их пересмотра.</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2.3. Продолжение работы с исполнительными органами власти РС(Я) по вопросу внесения изменений в постановление Правительства Республики Саха (Якутия) от 26 июня 2014 года № 179 «Об утверждении нормативов финансирования расходов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в расчете на одного воспитанника в год» в части включения в нормативный расчет расходов детских дошкольных учреждений оплаты труда таких категорий работников, как документоведы, техники, заведующие хозяйством, специалисты по кадровой работе, программисты, инженеры по охране труда, делопроизводители, бухгалтера, а также медицинские работники.</w:t>
      </w:r>
    </w:p>
    <w:p w:rsidR="00772B23" w:rsidRPr="00A63DC1" w:rsidRDefault="00772B23" w:rsidP="00A63DC1">
      <w:pPr>
        <w:spacing w:after="0" w:line="240" w:lineRule="auto"/>
        <w:ind w:firstLine="567"/>
        <w:jc w:val="both"/>
        <w:rPr>
          <w:rFonts w:ascii="Times New Roman" w:hAnsi="Times New Roman" w:cs="Times New Roman"/>
          <w:sz w:val="28"/>
          <w:szCs w:val="28"/>
        </w:rPr>
      </w:pPr>
      <w:r w:rsidRPr="00A63DC1">
        <w:rPr>
          <w:rFonts w:ascii="Times New Roman" w:hAnsi="Times New Roman" w:cs="Times New Roman"/>
          <w:sz w:val="28"/>
          <w:szCs w:val="28"/>
        </w:rPr>
        <w:t>2.4. Повторное обращение в Правительство Республики Саха (Якутия) об установлении налоговой ставки по налогу на имущество организаций в отношении имущества муниципальных учреждений в целях направления высвобожденных средств местного бюджета на поддержку, укрепление и развитие материально-технической базы муниципальных объектов социальной сферы.</w:t>
      </w:r>
    </w:p>
    <w:p w:rsidR="00772B23" w:rsidRPr="00A63DC1" w:rsidRDefault="00772B23" w:rsidP="00A63DC1">
      <w:pPr>
        <w:spacing w:after="0" w:line="240" w:lineRule="auto"/>
        <w:ind w:firstLine="567"/>
        <w:jc w:val="both"/>
        <w:rPr>
          <w:rFonts w:ascii="Times New Roman" w:hAnsi="Times New Roman" w:cs="Times New Roman"/>
          <w:sz w:val="28"/>
          <w:szCs w:val="28"/>
        </w:rPr>
      </w:pPr>
    </w:p>
    <w:p w:rsidR="00772B23" w:rsidRPr="00A63DC1" w:rsidRDefault="00772B23" w:rsidP="00A63DC1">
      <w:pPr>
        <w:spacing w:after="0" w:line="240" w:lineRule="auto"/>
        <w:ind w:firstLine="567"/>
        <w:jc w:val="both"/>
        <w:rPr>
          <w:rFonts w:ascii="Times New Roman" w:hAnsi="Times New Roman" w:cs="Times New Roman"/>
          <w:sz w:val="28"/>
          <w:szCs w:val="28"/>
        </w:rPr>
      </w:pPr>
    </w:p>
    <w:p w:rsidR="00772B23" w:rsidRPr="00A63DC1" w:rsidRDefault="00772B23" w:rsidP="00A63DC1">
      <w:pPr>
        <w:spacing w:after="0" w:line="240" w:lineRule="auto"/>
        <w:ind w:firstLine="567"/>
        <w:jc w:val="both"/>
        <w:rPr>
          <w:rFonts w:ascii="Times New Roman" w:hAnsi="Times New Roman" w:cs="Times New Roman"/>
          <w:sz w:val="28"/>
          <w:szCs w:val="28"/>
        </w:rPr>
      </w:pPr>
    </w:p>
    <w:p w:rsidR="00772B23" w:rsidRPr="00A63DC1" w:rsidRDefault="00772B23" w:rsidP="00A63DC1">
      <w:pPr>
        <w:spacing w:after="0" w:line="240" w:lineRule="auto"/>
        <w:ind w:firstLine="567"/>
        <w:jc w:val="both"/>
        <w:rPr>
          <w:rFonts w:ascii="Times New Roman" w:hAnsi="Times New Roman" w:cs="Times New Roman"/>
          <w:sz w:val="28"/>
          <w:szCs w:val="28"/>
        </w:rPr>
      </w:pPr>
    </w:p>
    <w:sectPr w:rsidR="00772B23" w:rsidRPr="00A63DC1" w:rsidSect="00A63DC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919"/>
    <w:multiLevelType w:val="hybridMultilevel"/>
    <w:tmpl w:val="A0B23896"/>
    <w:lvl w:ilvl="0" w:tplc="5C9E72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2127367"/>
    <w:multiLevelType w:val="hybridMultilevel"/>
    <w:tmpl w:val="F28A49C8"/>
    <w:lvl w:ilvl="0" w:tplc="5C9E723C">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13E738F6"/>
    <w:multiLevelType w:val="hybridMultilevel"/>
    <w:tmpl w:val="F5C05F66"/>
    <w:lvl w:ilvl="0" w:tplc="5C9E723C">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1D7C4600"/>
    <w:multiLevelType w:val="hybridMultilevel"/>
    <w:tmpl w:val="3E9AEEAC"/>
    <w:lvl w:ilvl="0" w:tplc="5C9E723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21B97A38"/>
    <w:multiLevelType w:val="hybridMultilevel"/>
    <w:tmpl w:val="D78E14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E7510"/>
    <w:multiLevelType w:val="hybridMultilevel"/>
    <w:tmpl w:val="DD34C330"/>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F383054"/>
    <w:multiLevelType w:val="hybridMultilevel"/>
    <w:tmpl w:val="743EF78C"/>
    <w:lvl w:ilvl="0" w:tplc="5C9E7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753398F"/>
    <w:multiLevelType w:val="hybridMultilevel"/>
    <w:tmpl w:val="C6229698"/>
    <w:lvl w:ilvl="0" w:tplc="CCFC6B52">
      <w:start w:val="1"/>
      <w:numFmt w:val="decimal"/>
      <w:lvlText w:val="%1."/>
      <w:lvlJc w:val="left"/>
      <w:pPr>
        <w:ind w:left="1429" w:hanging="360"/>
      </w:pPr>
      <w:rPr>
        <w:b/>
        <w:b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9A4068D"/>
    <w:multiLevelType w:val="hybridMultilevel"/>
    <w:tmpl w:val="09382E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C246AEF"/>
    <w:multiLevelType w:val="hybridMultilevel"/>
    <w:tmpl w:val="3852047E"/>
    <w:lvl w:ilvl="0" w:tplc="5C9E723C">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C9308BB"/>
    <w:multiLevelType w:val="hybridMultilevel"/>
    <w:tmpl w:val="419ECEC8"/>
    <w:lvl w:ilvl="0" w:tplc="5C9E723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DE07DD8"/>
    <w:multiLevelType w:val="hybridMultilevel"/>
    <w:tmpl w:val="15D618CA"/>
    <w:lvl w:ilvl="0" w:tplc="BAD8A3CA">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5452DC6"/>
    <w:multiLevelType w:val="hybridMultilevel"/>
    <w:tmpl w:val="9DD2FC8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63F1355"/>
    <w:multiLevelType w:val="hybridMultilevel"/>
    <w:tmpl w:val="C3CC0FE8"/>
    <w:lvl w:ilvl="0" w:tplc="5C9E7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6B55E16"/>
    <w:multiLevelType w:val="hybridMultilevel"/>
    <w:tmpl w:val="63AC1A6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D1B5784"/>
    <w:multiLevelType w:val="hybridMultilevel"/>
    <w:tmpl w:val="446C663E"/>
    <w:lvl w:ilvl="0" w:tplc="5C9E7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FB060B6"/>
    <w:multiLevelType w:val="hybridMultilevel"/>
    <w:tmpl w:val="C3401F5A"/>
    <w:lvl w:ilvl="0" w:tplc="5C9E7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07F6AA1"/>
    <w:multiLevelType w:val="hybridMultilevel"/>
    <w:tmpl w:val="D73494D6"/>
    <w:lvl w:ilvl="0" w:tplc="4BFC836A">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A8575E8"/>
    <w:multiLevelType w:val="hybridMultilevel"/>
    <w:tmpl w:val="1924B85C"/>
    <w:lvl w:ilvl="0" w:tplc="5C9E7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7382593"/>
    <w:multiLevelType w:val="hybridMultilevel"/>
    <w:tmpl w:val="85127FD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0">
    <w:nsid w:val="6E726523"/>
    <w:multiLevelType w:val="hybridMultilevel"/>
    <w:tmpl w:val="9DD2FC8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7D3D649F"/>
    <w:multiLevelType w:val="hybridMultilevel"/>
    <w:tmpl w:val="EFC62E6C"/>
    <w:lvl w:ilvl="0" w:tplc="5C9E723C">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7E1F3D8A"/>
    <w:multiLevelType w:val="hybridMultilevel"/>
    <w:tmpl w:val="33D0284C"/>
    <w:lvl w:ilvl="0" w:tplc="5C9E723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3"/>
  </w:num>
  <w:num w:numId="2">
    <w:abstractNumId w:val="18"/>
  </w:num>
  <w:num w:numId="3">
    <w:abstractNumId w:val="4"/>
  </w:num>
  <w:num w:numId="4">
    <w:abstractNumId w:val="16"/>
  </w:num>
  <w:num w:numId="5">
    <w:abstractNumId w:val="8"/>
  </w:num>
  <w:num w:numId="6">
    <w:abstractNumId w:val="0"/>
  </w:num>
  <w:num w:numId="7">
    <w:abstractNumId w:val="19"/>
  </w:num>
  <w:num w:numId="8">
    <w:abstractNumId w:val="11"/>
  </w:num>
  <w:num w:numId="9">
    <w:abstractNumId w:val="1"/>
  </w:num>
  <w:num w:numId="10">
    <w:abstractNumId w:val="14"/>
  </w:num>
  <w:num w:numId="11">
    <w:abstractNumId w:val="22"/>
  </w:num>
  <w:num w:numId="12">
    <w:abstractNumId w:val="15"/>
  </w:num>
  <w:num w:numId="13">
    <w:abstractNumId w:val="3"/>
  </w:num>
  <w:num w:numId="14">
    <w:abstractNumId w:val="6"/>
  </w:num>
  <w:num w:numId="15">
    <w:abstractNumId w:val="7"/>
  </w:num>
  <w:num w:numId="16">
    <w:abstractNumId w:val="10"/>
  </w:num>
  <w:num w:numId="17">
    <w:abstractNumId w:val="21"/>
  </w:num>
  <w:num w:numId="18">
    <w:abstractNumId w:val="9"/>
  </w:num>
  <w:num w:numId="19">
    <w:abstractNumId w:val="5"/>
  </w:num>
  <w:num w:numId="20">
    <w:abstractNumId w:val="20"/>
  </w:num>
  <w:num w:numId="21">
    <w:abstractNumId w:val="12"/>
  </w:num>
  <w:num w:numId="22">
    <w:abstractNumId w:val="1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2D6"/>
    <w:rsid w:val="00044E58"/>
    <w:rsid w:val="00160E7F"/>
    <w:rsid w:val="001F6F1D"/>
    <w:rsid w:val="00242C58"/>
    <w:rsid w:val="002F6060"/>
    <w:rsid w:val="003B42D6"/>
    <w:rsid w:val="0046436C"/>
    <w:rsid w:val="00474B1C"/>
    <w:rsid w:val="004D5244"/>
    <w:rsid w:val="00665872"/>
    <w:rsid w:val="0067230E"/>
    <w:rsid w:val="006C01A7"/>
    <w:rsid w:val="00772B23"/>
    <w:rsid w:val="00793E65"/>
    <w:rsid w:val="0084554A"/>
    <w:rsid w:val="00A63DC1"/>
    <w:rsid w:val="00C022B3"/>
    <w:rsid w:val="00C641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7F"/>
    <w:pPr>
      <w:spacing w:after="160" w:line="259" w:lineRule="auto"/>
    </w:pPr>
    <w:rPr>
      <w:rFonts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42D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p.yakad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3403</Words>
  <Characters>19399</Characters>
  <Application>Microsoft Office Outlook</Application>
  <DocSecurity>0</DocSecurity>
  <Lines>0</Lines>
  <Paragraphs>0</Paragraphs>
  <ScaleCrop>false</ScaleCrop>
  <Company>Julia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ЯКУТСК</dc:title>
  <dc:subject/>
  <dc:creator>Алгыс А. Тимофеев</dc:creator>
  <cp:keywords/>
  <dc:description/>
  <cp:lastModifiedBy>Julia</cp:lastModifiedBy>
  <cp:revision>2</cp:revision>
  <dcterms:created xsi:type="dcterms:W3CDTF">2020-04-06T07:29:00Z</dcterms:created>
  <dcterms:modified xsi:type="dcterms:W3CDTF">2020-04-06T07:29:00Z</dcterms:modified>
</cp:coreProperties>
</file>