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3C" w:rsidRPr="0040543C" w:rsidRDefault="0040543C" w:rsidP="0040543C">
      <w:pPr>
        <w:pStyle w:val="Style2"/>
        <w:widowControl/>
        <w:contextualSpacing/>
        <w:jc w:val="both"/>
        <w:rPr>
          <w:rStyle w:val="FontStyle12"/>
          <w:b/>
          <w:sz w:val="28"/>
          <w:szCs w:val="28"/>
        </w:rPr>
      </w:pPr>
      <w:r w:rsidRPr="0040543C">
        <w:rPr>
          <w:rStyle w:val="FontStyle12"/>
          <w:b/>
          <w:sz w:val="28"/>
          <w:szCs w:val="28"/>
        </w:rPr>
        <w:t>АБАКАН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В 2019 г. в рамках национального проекта «Демография» построено 3 новых детских сада на 330 мест каждый. Это детские сады «</w:t>
      </w:r>
      <w:proofErr w:type="spellStart"/>
      <w:r w:rsidRPr="0040543C">
        <w:rPr>
          <w:rStyle w:val="FontStyle12"/>
          <w:sz w:val="28"/>
          <w:szCs w:val="28"/>
        </w:rPr>
        <w:t>Филпппок</w:t>
      </w:r>
      <w:proofErr w:type="spellEnd"/>
      <w:r w:rsidRPr="0040543C">
        <w:rPr>
          <w:rStyle w:val="FontStyle12"/>
          <w:sz w:val="28"/>
          <w:szCs w:val="28"/>
        </w:rPr>
        <w:t>» (ул.</w:t>
      </w:r>
      <w:r w:rsidR="0040543C">
        <w:rPr>
          <w:rStyle w:val="FontStyle12"/>
          <w:sz w:val="28"/>
          <w:szCs w:val="28"/>
        </w:rPr>
        <w:t> </w:t>
      </w:r>
      <w:r w:rsidRPr="0040543C">
        <w:rPr>
          <w:rStyle w:val="FontStyle12"/>
          <w:sz w:val="28"/>
          <w:szCs w:val="28"/>
        </w:rPr>
        <w:t>Чехова</w:t>
      </w:r>
      <w:r w:rsidR="0040543C">
        <w:rPr>
          <w:rStyle w:val="FontStyle12"/>
          <w:sz w:val="28"/>
          <w:szCs w:val="28"/>
        </w:rPr>
        <w:t>,</w:t>
      </w:r>
      <w:r w:rsidRPr="0040543C">
        <w:rPr>
          <w:rStyle w:val="FontStyle12"/>
          <w:sz w:val="28"/>
          <w:szCs w:val="28"/>
        </w:rPr>
        <w:t xml:space="preserve"> 151). «Дашенька» (ул.</w:t>
      </w:r>
      <w:r w:rsidR="0040543C">
        <w:rPr>
          <w:rStyle w:val="FontStyle12"/>
          <w:sz w:val="28"/>
          <w:szCs w:val="28"/>
        </w:rPr>
        <w:t> </w:t>
      </w:r>
      <w:r w:rsidRPr="0040543C">
        <w:rPr>
          <w:rStyle w:val="FontStyle12"/>
          <w:sz w:val="28"/>
          <w:szCs w:val="28"/>
        </w:rPr>
        <w:t>Арбам</w:t>
      </w:r>
      <w:r w:rsidR="0040543C">
        <w:rPr>
          <w:rStyle w:val="FontStyle12"/>
          <w:sz w:val="28"/>
          <w:szCs w:val="28"/>
        </w:rPr>
        <w:t>,</w:t>
      </w:r>
      <w:r w:rsidRPr="0040543C">
        <w:rPr>
          <w:rStyle w:val="FontStyle12"/>
          <w:sz w:val="28"/>
          <w:szCs w:val="28"/>
        </w:rPr>
        <w:t xml:space="preserve"> 6). «Феденька» (ул.</w:t>
      </w:r>
      <w:r w:rsidR="0040543C">
        <w:rPr>
          <w:rStyle w:val="FontStyle12"/>
          <w:sz w:val="28"/>
          <w:szCs w:val="28"/>
        </w:rPr>
        <w:t> </w:t>
      </w:r>
      <w:r w:rsidRPr="0040543C">
        <w:rPr>
          <w:rStyle w:val="FontStyle12"/>
          <w:sz w:val="28"/>
          <w:szCs w:val="28"/>
        </w:rPr>
        <w:t>Литвинова</w:t>
      </w:r>
      <w:r w:rsidR="0040543C">
        <w:rPr>
          <w:rStyle w:val="FontStyle12"/>
          <w:sz w:val="28"/>
          <w:szCs w:val="28"/>
        </w:rPr>
        <w:t>,</w:t>
      </w:r>
      <w:r w:rsidRPr="0040543C">
        <w:rPr>
          <w:rStyle w:val="FontStyle12"/>
          <w:sz w:val="28"/>
          <w:szCs w:val="28"/>
        </w:rPr>
        <w:t xml:space="preserve"> 28). </w:t>
      </w:r>
      <w:proofErr w:type="gramStart"/>
      <w:r w:rsidRPr="0040543C">
        <w:rPr>
          <w:rStyle w:val="FontStyle12"/>
          <w:sz w:val="28"/>
          <w:szCs w:val="28"/>
        </w:rPr>
        <w:t>Решением Филиала ОАО «РЖД» в собственность муниципального образования город Абакан переда</w:t>
      </w:r>
      <w:r w:rsidR="0040543C">
        <w:rPr>
          <w:rStyle w:val="FontStyle12"/>
          <w:sz w:val="28"/>
          <w:szCs w:val="28"/>
        </w:rPr>
        <w:t>н</w:t>
      </w:r>
      <w:r w:rsidRPr="0040543C">
        <w:rPr>
          <w:rStyle w:val="FontStyle12"/>
          <w:sz w:val="28"/>
          <w:szCs w:val="28"/>
        </w:rPr>
        <w:t xml:space="preserve"> детский сад по ул.</w:t>
      </w:r>
      <w:r w:rsidR="0040543C">
        <w:rPr>
          <w:rStyle w:val="FontStyle12"/>
          <w:sz w:val="28"/>
          <w:szCs w:val="28"/>
        </w:rPr>
        <w:t> </w:t>
      </w:r>
      <w:r w:rsidRPr="0040543C">
        <w:rPr>
          <w:rStyle w:val="FontStyle12"/>
          <w:sz w:val="28"/>
          <w:szCs w:val="28"/>
        </w:rPr>
        <w:t>Хакасская</w:t>
      </w:r>
      <w:r w:rsidR="0040543C">
        <w:rPr>
          <w:rStyle w:val="FontStyle12"/>
          <w:sz w:val="28"/>
          <w:szCs w:val="28"/>
        </w:rPr>
        <w:t>,</w:t>
      </w:r>
      <w:r w:rsidRPr="0040543C">
        <w:rPr>
          <w:rStyle w:val="FontStyle12"/>
          <w:sz w:val="28"/>
          <w:szCs w:val="28"/>
        </w:rPr>
        <w:t xml:space="preserve"> 91 на 140 мест (детский сад «</w:t>
      </w:r>
      <w:proofErr w:type="spellStart"/>
      <w:r w:rsidRPr="0040543C">
        <w:rPr>
          <w:rStyle w:val="FontStyle12"/>
          <w:sz w:val="28"/>
          <w:szCs w:val="28"/>
        </w:rPr>
        <w:t>Дуияша</w:t>
      </w:r>
      <w:proofErr w:type="spellEnd"/>
      <w:r w:rsidRPr="0040543C">
        <w:rPr>
          <w:rStyle w:val="FontStyle12"/>
          <w:sz w:val="28"/>
          <w:szCs w:val="28"/>
        </w:rPr>
        <w:t>»).</w:t>
      </w:r>
      <w:proofErr w:type="gramEnd"/>
      <w:r w:rsidRPr="0040543C">
        <w:rPr>
          <w:rStyle w:val="FontStyle12"/>
          <w:sz w:val="28"/>
          <w:szCs w:val="28"/>
        </w:rPr>
        <w:t xml:space="preserve"> Таким образом, в 2019 году в муниципальной системе дошкольного образования создано 1130 новых мест. Всего в 2019</w:t>
      </w:r>
      <w:r w:rsidR="0040543C">
        <w:rPr>
          <w:rStyle w:val="FontStyle12"/>
          <w:sz w:val="28"/>
          <w:szCs w:val="28"/>
        </w:rPr>
        <w:t> </w:t>
      </w:r>
      <w:r w:rsidRPr="0040543C">
        <w:rPr>
          <w:rStyle w:val="FontStyle12"/>
          <w:sz w:val="28"/>
          <w:szCs w:val="28"/>
        </w:rPr>
        <w:t xml:space="preserve">г. в 49 детских садах получали услугу 13852 чел. (в 2018 г. - 12177 чел., в 2017 г. - 11686 чел.). </w:t>
      </w:r>
      <w:proofErr w:type="gramStart"/>
      <w:r w:rsidRPr="0040543C">
        <w:rPr>
          <w:rStyle w:val="FontStyle12"/>
          <w:sz w:val="28"/>
          <w:szCs w:val="28"/>
        </w:rPr>
        <w:t xml:space="preserve">Показатель охвата различными формами дошкольного образования детей в возрасте от 0 до 3 лет в 2010 г. составил 33% (в 2018 т. </w:t>
      </w:r>
      <w:r w:rsidR="0040543C">
        <w:rPr>
          <w:rStyle w:val="FontStyle12"/>
          <w:sz w:val="28"/>
          <w:szCs w:val="28"/>
        </w:rPr>
        <w:t xml:space="preserve">– </w:t>
      </w:r>
      <w:r w:rsidRPr="0040543C">
        <w:rPr>
          <w:rStyle w:val="FontStyle12"/>
          <w:sz w:val="28"/>
          <w:szCs w:val="28"/>
        </w:rPr>
        <w:t>28</w:t>
      </w:r>
      <w:r w:rsidR="0040543C">
        <w:rPr>
          <w:rStyle w:val="FontStyle12"/>
          <w:sz w:val="28"/>
          <w:szCs w:val="28"/>
        </w:rPr>
        <w:t>,</w:t>
      </w:r>
      <w:r w:rsidRPr="0040543C">
        <w:rPr>
          <w:rStyle w:val="FontStyle12"/>
          <w:sz w:val="28"/>
          <w:szCs w:val="28"/>
        </w:rPr>
        <w:t>8%. в 2017 г. - 27%)</w:t>
      </w:r>
      <w:r w:rsidR="0040543C">
        <w:rPr>
          <w:rStyle w:val="FontStyle12"/>
          <w:sz w:val="28"/>
          <w:szCs w:val="28"/>
        </w:rPr>
        <w:t>,</w:t>
      </w:r>
      <w:r w:rsidRPr="0040543C">
        <w:rPr>
          <w:rStyle w:val="FontStyle12"/>
          <w:sz w:val="28"/>
          <w:szCs w:val="28"/>
        </w:rPr>
        <w:t xml:space="preserve"> от 3 до 7 лет - 100%. Основное направление обеспечения доступности дошкольного образования - расширение се</w:t>
      </w:r>
      <w:r w:rsidR="0040543C">
        <w:rPr>
          <w:rStyle w:val="FontStyle12"/>
          <w:sz w:val="28"/>
          <w:szCs w:val="28"/>
        </w:rPr>
        <w:t>т</w:t>
      </w:r>
      <w:r w:rsidRPr="0040543C">
        <w:rPr>
          <w:rStyle w:val="FontStyle12"/>
          <w:sz w:val="28"/>
          <w:szCs w:val="28"/>
        </w:rPr>
        <w:t>и дошкольных образоват</w:t>
      </w:r>
      <w:r w:rsidR="0040543C">
        <w:rPr>
          <w:rStyle w:val="FontStyle12"/>
          <w:sz w:val="28"/>
          <w:szCs w:val="28"/>
        </w:rPr>
        <w:t>е</w:t>
      </w:r>
      <w:r w:rsidRPr="0040543C">
        <w:rPr>
          <w:rStyle w:val="FontStyle12"/>
          <w:sz w:val="28"/>
          <w:szCs w:val="28"/>
        </w:rPr>
        <w:t>ль</w:t>
      </w:r>
      <w:r w:rsidR="0040543C">
        <w:rPr>
          <w:rStyle w:val="FontStyle12"/>
          <w:sz w:val="28"/>
          <w:szCs w:val="28"/>
        </w:rPr>
        <w:t>н</w:t>
      </w:r>
      <w:r w:rsidRPr="0040543C">
        <w:rPr>
          <w:rStyle w:val="FontStyle12"/>
          <w:sz w:val="28"/>
          <w:szCs w:val="28"/>
        </w:rPr>
        <w:t>ых учрежде</w:t>
      </w:r>
      <w:r w:rsidR="0040543C">
        <w:rPr>
          <w:rStyle w:val="FontStyle12"/>
          <w:sz w:val="28"/>
          <w:szCs w:val="28"/>
        </w:rPr>
        <w:t>н</w:t>
      </w:r>
      <w:r w:rsidRPr="0040543C">
        <w:rPr>
          <w:rStyle w:val="FontStyle12"/>
          <w:sz w:val="28"/>
          <w:szCs w:val="28"/>
        </w:rPr>
        <w:t>и</w:t>
      </w:r>
      <w:r w:rsidR="0040543C">
        <w:rPr>
          <w:rStyle w:val="FontStyle12"/>
          <w:sz w:val="28"/>
          <w:szCs w:val="28"/>
        </w:rPr>
        <w:t>й</w:t>
      </w:r>
      <w:r w:rsidRPr="0040543C">
        <w:rPr>
          <w:rStyle w:val="FontStyle12"/>
          <w:sz w:val="28"/>
          <w:szCs w:val="28"/>
        </w:rPr>
        <w:t>.</w:t>
      </w:r>
      <w:proofErr w:type="gramEnd"/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В соответствии с федеральным проектом «Содействие занятости женщин - создание условий дошкольного образования для детей в возрасте до трёх лет» национального проекта «Демография» во всех новых детских садах открыто 60 мест для детей ясельного возраста: от 2 месяцев до 3 лет. Проведена работа по перепрофилированию 660 мест в действующих детских садах для детей данной категории. </w:t>
      </w:r>
      <w:r w:rsidR="0040543C">
        <w:rPr>
          <w:rStyle w:val="FontStyle12"/>
          <w:sz w:val="28"/>
          <w:szCs w:val="28"/>
        </w:rPr>
        <w:t>Это</w:t>
      </w:r>
      <w:r w:rsidRPr="0040543C">
        <w:rPr>
          <w:rStyle w:val="FontStyle12"/>
          <w:sz w:val="28"/>
          <w:szCs w:val="28"/>
        </w:rPr>
        <w:t xml:space="preserve"> требует освоения новых моделей присмотра и ухода за детьми </w:t>
      </w:r>
      <w:r w:rsidRPr="0040543C">
        <w:rPr>
          <w:rStyle w:val="FontStyle12"/>
          <w:bCs/>
          <w:sz w:val="28"/>
          <w:szCs w:val="28"/>
        </w:rPr>
        <w:t>дошкольного</w:t>
      </w:r>
      <w:r w:rsidRPr="0040543C">
        <w:rPr>
          <w:rStyle w:val="FontStyle12"/>
          <w:b/>
          <w:bCs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 xml:space="preserve">возраста и новых </w:t>
      </w:r>
      <w:r w:rsidRPr="0040543C">
        <w:rPr>
          <w:rStyle w:val="FontStyle12"/>
          <w:bCs/>
          <w:sz w:val="28"/>
          <w:szCs w:val="28"/>
        </w:rPr>
        <w:t xml:space="preserve">технологий </w:t>
      </w:r>
      <w:r w:rsidRPr="0040543C">
        <w:rPr>
          <w:rStyle w:val="FontStyle12"/>
          <w:sz w:val="28"/>
          <w:szCs w:val="28"/>
        </w:rPr>
        <w:t xml:space="preserve">дошкольного образования. </w:t>
      </w:r>
      <w:proofErr w:type="spellStart"/>
      <w:r w:rsidRPr="0040543C">
        <w:rPr>
          <w:rStyle w:val="FontStyle12"/>
          <w:sz w:val="28"/>
          <w:szCs w:val="28"/>
        </w:rPr>
        <w:t>Пилотными</w:t>
      </w:r>
      <w:proofErr w:type="spellEnd"/>
      <w:r w:rsidRPr="0040543C">
        <w:rPr>
          <w:rStyle w:val="FontStyle12"/>
          <w:sz w:val="28"/>
          <w:szCs w:val="28"/>
        </w:rPr>
        <w:t xml:space="preserve"> площадками Абакана поданному направлению в 2019 году стали 2 новых детских сада: </w:t>
      </w:r>
      <w:r w:rsidRPr="0040543C">
        <w:rPr>
          <w:rStyle w:val="FontStyle12"/>
          <w:b/>
          <w:bCs/>
          <w:sz w:val="28"/>
          <w:szCs w:val="28"/>
        </w:rPr>
        <w:t>«</w:t>
      </w:r>
      <w:r w:rsidRPr="0040543C">
        <w:rPr>
          <w:rStyle w:val="FontStyle12"/>
          <w:bCs/>
          <w:sz w:val="28"/>
          <w:szCs w:val="28"/>
        </w:rPr>
        <w:t>Филиппок</w:t>
      </w:r>
      <w:r w:rsidRPr="0040543C">
        <w:rPr>
          <w:rStyle w:val="FontStyle12"/>
          <w:b/>
          <w:bCs/>
          <w:sz w:val="28"/>
          <w:szCs w:val="28"/>
        </w:rPr>
        <w:t xml:space="preserve">» </w:t>
      </w:r>
      <w:r w:rsidRPr="0040543C">
        <w:rPr>
          <w:rStyle w:val="FontStyle12"/>
          <w:sz w:val="28"/>
          <w:szCs w:val="28"/>
        </w:rPr>
        <w:t>и «Дашенька».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В 2019 году в рамках реализации федерально</w:t>
      </w:r>
      <w:r w:rsidR="0040543C">
        <w:rPr>
          <w:rStyle w:val="FontStyle12"/>
          <w:sz w:val="28"/>
          <w:szCs w:val="28"/>
        </w:rPr>
        <w:t>го</w:t>
      </w:r>
      <w:r w:rsidRPr="0040543C">
        <w:rPr>
          <w:rStyle w:val="FontStyle12"/>
          <w:sz w:val="28"/>
          <w:szCs w:val="28"/>
        </w:rPr>
        <w:t xml:space="preserve"> проекта «Современная школа» национального проекта «Образование» в шестом микрорайоне первого жилого района Абакана построено новое здание лицея (ул. Крылова, 110). Создано новое общеобразовательное учреждение - школа № 29 (ул. Лермонтова</w:t>
      </w:r>
      <w:r w:rsidR="0040543C">
        <w:rPr>
          <w:rStyle w:val="FontStyle12"/>
          <w:sz w:val="28"/>
          <w:szCs w:val="28"/>
        </w:rPr>
        <w:t>,</w:t>
      </w:r>
      <w:r w:rsidRPr="0040543C">
        <w:rPr>
          <w:rStyle w:val="FontStyle12"/>
          <w:sz w:val="28"/>
          <w:szCs w:val="28"/>
        </w:rPr>
        <w:t xml:space="preserve"> 12). В 2019 году в восьмом микрорайоне первого жилого района в рамках национального проекта «Образование» началось строительство еще одной новой </w:t>
      </w:r>
      <w:r w:rsidR="0040543C">
        <w:rPr>
          <w:rStyle w:val="FontStyle12"/>
          <w:sz w:val="28"/>
          <w:szCs w:val="28"/>
        </w:rPr>
        <w:t>школы</w:t>
      </w:r>
      <w:r w:rsidRPr="0040543C">
        <w:rPr>
          <w:rStyle w:val="FontStyle12"/>
          <w:sz w:val="28"/>
          <w:szCs w:val="28"/>
        </w:rPr>
        <w:t xml:space="preserve"> на </w:t>
      </w:r>
      <w:r w:rsidR="0040543C">
        <w:rPr>
          <w:rStyle w:val="FontStyle12"/>
          <w:sz w:val="28"/>
          <w:szCs w:val="28"/>
        </w:rPr>
        <w:t>т</w:t>
      </w:r>
      <w:r w:rsidRPr="0040543C">
        <w:rPr>
          <w:rStyle w:val="FontStyle12"/>
          <w:sz w:val="28"/>
          <w:szCs w:val="28"/>
        </w:rPr>
        <w:t xml:space="preserve">ысячу мест, открытие которой будет способствовать решению актуальной задачи создания новых учебных мест в </w:t>
      </w:r>
      <w:proofErr w:type="gramStart"/>
      <w:r w:rsidRPr="0040543C">
        <w:rPr>
          <w:rStyle w:val="FontStyle12"/>
          <w:sz w:val="28"/>
          <w:szCs w:val="28"/>
        </w:rPr>
        <w:t>одном их быстроразвивающих</w:t>
      </w:r>
      <w:r w:rsidR="0040543C">
        <w:rPr>
          <w:rStyle w:val="FontStyle12"/>
          <w:sz w:val="28"/>
          <w:szCs w:val="28"/>
        </w:rPr>
        <w:t>с</w:t>
      </w:r>
      <w:r w:rsidRPr="0040543C">
        <w:rPr>
          <w:rStyle w:val="FontStyle12"/>
          <w:sz w:val="28"/>
          <w:szCs w:val="28"/>
        </w:rPr>
        <w:t>я районов</w:t>
      </w:r>
      <w:proofErr w:type="gramEnd"/>
      <w:r w:rsidRPr="0040543C">
        <w:rPr>
          <w:rStyle w:val="FontStyle12"/>
          <w:sz w:val="28"/>
          <w:szCs w:val="28"/>
        </w:rPr>
        <w:t xml:space="preserve"> Абакана.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proofErr w:type="gramStart"/>
      <w:r w:rsidRPr="0040543C">
        <w:rPr>
          <w:rStyle w:val="FontStyle12"/>
          <w:sz w:val="28"/>
          <w:szCs w:val="28"/>
        </w:rPr>
        <w:t xml:space="preserve">Отмечается значительное увеличение числа школьников, имеющих возможность и желание изучать государственный язык Республики Хакасия: с 1128 чел. в 2014 г. до 3375 чел. в 2019 г. Работа </w:t>
      </w:r>
      <w:r w:rsidR="0040543C">
        <w:rPr>
          <w:rStyle w:val="FontStyle12"/>
          <w:sz w:val="28"/>
          <w:szCs w:val="28"/>
        </w:rPr>
        <w:t>п</w:t>
      </w:r>
      <w:r w:rsidRPr="0040543C">
        <w:rPr>
          <w:rStyle w:val="FontStyle12"/>
          <w:sz w:val="28"/>
          <w:szCs w:val="28"/>
        </w:rPr>
        <w:t>о организации изучения хакасского языка и удовлетворению этнокультурных образовательных потребностей продолжена в школах в разных формах: в рамках учебного предмета -25%. в рамках внеурочной деятельности ФГОС - 63%, на факультативных занятиях и к специально</w:t>
      </w:r>
      <w:proofErr w:type="gramEnd"/>
      <w:r w:rsidRPr="0040543C">
        <w:rPr>
          <w:rStyle w:val="FontStyle12"/>
          <w:sz w:val="28"/>
          <w:szCs w:val="28"/>
        </w:rPr>
        <w:t xml:space="preserve"> организованных </w:t>
      </w:r>
      <w:proofErr w:type="gramStart"/>
      <w:r w:rsidRPr="0040543C">
        <w:rPr>
          <w:rStyle w:val="FontStyle12"/>
          <w:sz w:val="28"/>
          <w:szCs w:val="28"/>
        </w:rPr>
        <w:t>кружках</w:t>
      </w:r>
      <w:proofErr w:type="gramEnd"/>
      <w:r w:rsidRPr="0040543C">
        <w:rPr>
          <w:rStyle w:val="FontStyle12"/>
          <w:sz w:val="28"/>
          <w:szCs w:val="28"/>
        </w:rPr>
        <w:t xml:space="preserve"> и студнях - 12%. В </w:t>
      </w:r>
      <w:r w:rsidR="0040543C">
        <w:rPr>
          <w:rStyle w:val="FontStyle12"/>
          <w:sz w:val="28"/>
          <w:szCs w:val="28"/>
        </w:rPr>
        <w:t>20</w:t>
      </w:r>
      <w:r w:rsidRPr="0040543C">
        <w:rPr>
          <w:rStyle w:val="FontStyle12"/>
          <w:sz w:val="28"/>
          <w:szCs w:val="28"/>
        </w:rPr>
        <w:t>19 г. национальные классы действовали в четырех школах Абакана: школах №№ 3</w:t>
      </w:r>
      <w:r w:rsidR="0040543C">
        <w:rPr>
          <w:rStyle w:val="FontStyle12"/>
          <w:sz w:val="28"/>
          <w:szCs w:val="28"/>
        </w:rPr>
        <w:t>,</w:t>
      </w:r>
      <w:r w:rsidRPr="0040543C">
        <w:rPr>
          <w:rStyle w:val="FontStyle12"/>
          <w:sz w:val="28"/>
          <w:szCs w:val="28"/>
        </w:rPr>
        <w:t xml:space="preserve"> 20</w:t>
      </w:r>
      <w:r w:rsidR="0040543C">
        <w:rPr>
          <w:rStyle w:val="FontStyle12"/>
          <w:sz w:val="28"/>
          <w:szCs w:val="28"/>
        </w:rPr>
        <w:t>,</w:t>
      </w:r>
      <w:r w:rsidRPr="0040543C">
        <w:rPr>
          <w:rStyle w:val="FontStyle12"/>
          <w:sz w:val="28"/>
          <w:szCs w:val="28"/>
        </w:rPr>
        <w:t xml:space="preserve"> 22</w:t>
      </w:r>
      <w:r w:rsidR="0040543C">
        <w:rPr>
          <w:rStyle w:val="FontStyle12"/>
          <w:sz w:val="28"/>
          <w:szCs w:val="28"/>
        </w:rPr>
        <w:t xml:space="preserve">, </w:t>
      </w:r>
      <w:r w:rsidRPr="0040543C">
        <w:rPr>
          <w:rStyle w:val="FontStyle12"/>
          <w:sz w:val="28"/>
          <w:szCs w:val="28"/>
        </w:rPr>
        <w:t>24.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В течение года реализован цикл мероприяти</w:t>
      </w:r>
      <w:r w:rsidR="0040543C">
        <w:rPr>
          <w:rStyle w:val="FontStyle12"/>
          <w:sz w:val="28"/>
          <w:szCs w:val="28"/>
        </w:rPr>
        <w:t>й</w:t>
      </w:r>
      <w:r w:rsidRPr="0040543C">
        <w:rPr>
          <w:rStyle w:val="FontStyle12"/>
          <w:sz w:val="28"/>
          <w:szCs w:val="28"/>
        </w:rPr>
        <w:t>, направленных на сохранение и развитие хакасского языка. 4 сентября 2019 года, в День хакасского языка, более 23 тысяч школьников стали участниками муниципальной акции «</w:t>
      </w:r>
      <w:proofErr w:type="spellStart"/>
      <w:r w:rsidRPr="0040543C">
        <w:rPr>
          <w:rStyle w:val="FontStyle12"/>
          <w:sz w:val="28"/>
          <w:szCs w:val="28"/>
        </w:rPr>
        <w:t>Изеннёр</w:t>
      </w:r>
      <w:proofErr w:type="spellEnd"/>
      <w:r w:rsidRPr="0040543C">
        <w:rPr>
          <w:rStyle w:val="FontStyle12"/>
          <w:sz w:val="28"/>
          <w:szCs w:val="28"/>
        </w:rPr>
        <w:t>! - Здравствуйте!», этой да</w:t>
      </w:r>
      <w:r w:rsidR="00B1379F">
        <w:rPr>
          <w:rStyle w:val="FontStyle12"/>
          <w:sz w:val="28"/>
          <w:szCs w:val="28"/>
        </w:rPr>
        <w:t>т</w:t>
      </w:r>
      <w:r w:rsidRPr="0040543C">
        <w:rPr>
          <w:rStyle w:val="FontStyle12"/>
          <w:sz w:val="28"/>
          <w:szCs w:val="28"/>
        </w:rPr>
        <w:t>е республиканского календаря был посвящен муниципальный семейный фестиваль «Родной язык - душа народа», в котором приняли участие более 250 чел. В школе № 22 в рамках сетево</w:t>
      </w:r>
      <w:r w:rsidR="00B1379F">
        <w:rPr>
          <w:rStyle w:val="FontStyle12"/>
          <w:sz w:val="28"/>
          <w:szCs w:val="28"/>
        </w:rPr>
        <w:t>го</w:t>
      </w:r>
      <w:r w:rsidRPr="0040543C">
        <w:rPr>
          <w:rStyle w:val="FontStyle12"/>
          <w:sz w:val="28"/>
          <w:szCs w:val="28"/>
        </w:rPr>
        <w:t xml:space="preserve"> муниципального Центра </w:t>
      </w:r>
      <w:r w:rsidRPr="00B1379F">
        <w:rPr>
          <w:rStyle w:val="FontStyle12"/>
          <w:bCs/>
          <w:sz w:val="28"/>
          <w:szCs w:val="28"/>
        </w:rPr>
        <w:t xml:space="preserve">поликультурного </w:t>
      </w:r>
      <w:r w:rsidRPr="0040543C">
        <w:rPr>
          <w:rStyle w:val="FontStyle12"/>
          <w:sz w:val="28"/>
          <w:szCs w:val="28"/>
        </w:rPr>
        <w:t>образования продолжила работу Школа выходного дня для горожан, желающих изучать хакасский язык, состоялся муниципальный фестиваль-конкур</w:t>
      </w:r>
      <w:r w:rsidR="00B1379F">
        <w:rPr>
          <w:rStyle w:val="FontStyle12"/>
          <w:sz w:val="28"/>
          <w:szCs w:val="28"/>
        </w:rPr>
        <w:t>с</w:t>
      </w:r>
      <w:r w:rsidRPr="0040543C">
        <w:rPr>
          <w:rStyle w:val="FontStyle12"/>
          <w:sz w:val="28"/>
          <w:szCs w:val="28"/>
        </w:rPr>
        <w:t xml:space="preserve"> «</w:t>
      </w:r>
      <w:r w:rsidR="00B1379F">
        <w:rPr>
          <w:rStyle w:val="FontStyle12"/>
          <w:sz w:val="28"/>
          <w:szCs w:val="28"/>
        </w:rPr>
        <w:t>Ц</w:t>
      </w:r>
      <w:r w:rsidRPr="0040543C">
        <w:rPr>
          <w:rStyle w:val="FontStyle12"/>
          <w:sz w:val="28"/>
          <w:szCs w:val="28"/>
        </w:rPr>
        <w:t>е</w:t>
      </w:r>
      <w:r w:rsidR="00B1379F">
        <w:rPr>
          <w:rStyle w:val="FontStyle12"/>
          <w:sz w:val="28"/>
          <w:szCs w:val="28"/>
        </w:rPr>
        <w:t>н</w:t>
      </w:r>
      <w:r w:rsidRPr="0040543C">
        <w:rPr>
          <w:rStyle w:val="FontStyle12"/>
          <w:sz w:val="28"/>
          <w:szCs w:val="28"/>
        </w:rPr>
        <w:t xml:space="preserve">тр собирает друзей: все мы </w:t>
      </w:r>
      <w:proofErr w:type="gramStart"/>
      <w:r w:rsidRPr="0040543C">
        <w:rPr>
          <w:rStyle w:val="FontStyle12"/>
          <w:sz w:val="28"/>
          <w:szCs w:val="28"/>
        </w:rPr>
        <w:t>разные</w:t>
      </w:r>
      <w:proofErr w:type="gramEnd"/>
      <w:r w:rsidRPr="0040543C">
        <w:rPr>
          <w:rStyle w:val="FontStyle12"/>
          <w:sz w:val="28"/>
          <w:szCs w:val="28"/>
        </w:rPr>
        <w:t xml:space="preserve"> </w:t>
      </w:r>
      <w:r w:rsidR="00B1379F">
        <w:rPr>
          <w:rStyle w:val="FontStyle12"/>
          <w:sz w:val="28"/>
          <w:szCs w:val="28"/>
        </w:rPr>
        <w:t>н</w:t>
      </w:r>
      <w:r w:rsidRPr="0040543C">
        <w:rPr>
          <w:rStyle w:val="FontStyle12"/>
          <w:sz w:val="28"/>
          <w:szCs w:val="28"/>
        </w:rPr>
        <w:t>о мы вместе!» (декабрь 2019 г.).</w:t>
      </w:r>
    </w:p>
    <w:p w:rsidR="005E4F3A" w:rsidRPr="0040543C" w:rsidRDefault="005E4F3A" w:rsidP="00B1379F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В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2019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год</w:t>
      </w:r>
      <w:r w:rsidR="00B1379F">
        <w:rPr>
          <w:rStyle w:val="FontStyle12"/>
          <w:sz w:val="28"/>
          <w:szCs w:val="28"/>
        </w:rPr>
        <w:t>у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успешно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решалась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задача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ранней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профессиональной ориентации</w:t>
      </w:r>
      <w:r w:rsidR="00B1379F">
        <w:rPr>
          <w:rStyle w:val="FontStyle12"/>
          <w:sz w:val="28"/>
          <w:szCs w:val="28"/>
        </w:rPr>
        <w:t xml:space="preserve">, </w:t>
      </w:r>
      <w:r w:rsidRPr="0040543C">
        <w:rPr>
          <w:rStyle w:val="FontStyle12"/>
          <w:sz w:val="28"/>
          <w:szCs w:val="28"/>
        </w:rPr>
        <w:t xml:space="preserve">обозначенная в Стратегии развития воспитания в Российской Федерации па период до 2025 года. В рамках реализации объявленного </w:t>
      </w:r>
      <w:r w:rsidR="00B1379F">
        <w:rPr>
          <w:rStyle w:val="FontStyle12"/>
          <w:sz w:val="28"/>
          <w:szCs w:val="28"/>
        </w:rPr>
        <w:t>П</w:t>
      </w:r>
      <w:r w:rsidRPr="0040543C">
        <w:rPr>
          <w:rStyle w:val="FontStyle12"/>
          <w:sz w:val="28"/>
          <w:szCs w:val="28"/>
        </w:rPr>
        <w:t xml:space="preserve">резидентом Российской Федерации </w:t>
      </w:r>
      <w:r w:rsidRPr="0040543C">
        <w:rPr>
          <w:rStyle w:val="FontStyle12"/>
          <w:sz w:val="28"/>
          <w:szCs w:val="28"/>
        </w:rPr>
        <w:lastRenderedPageBreak/>
        <w:t xml:space="preserve">нового проекта по ранней профориентации «Билет в будущее» в муниципальном </w:t>
      </w:r>
      <w:r w:rsidR="00B1379F">
        <w:rPr>
          <w:rStyle w:val="FontStyle12"/>
          <w:sz w:val="28"/>
          <w:szCs w:val="28"/>
        </w:rPr>
        <w:t>Центре</w:t>
      </w:r>
      <w:r w:rsidRPr="0040543C">
        <w:rPr>
          <w:rStyle w:val="FontStyle12"/>
          <w:sz w:val="28"/>
          <w:szCs w:val="28"/>
        </w:rPr>
        <w:t xml:space="preserve"> профессионального самоопределения школьников, действующем на базе Центра </w:t>
      </w:r>
      <w:r w:rsidR="00B1379F">
        <w:rPr>
          <w:rStyle w:val="FontStyle12"/>
          <w:sz w:val="28"/>
          <w:szCs w:val="28"/>
        </w:rPr>
        <w:t>психолого</w:t>
      </w:r>
      <w:r w:rsidRPr="0040543C">
        <w:rPr>
          <w:rStyle w:val="FontStyle12"/>
          <w:sz w:val="28"/>
          <w:szCs w:val="28"/>
        </w:rPr>
        <w:t xml:space="preserve">-педагогической, медицинской и социальной помощи, реализованы новые </w:t>
      </w:r>
      <w:proofErr w:type="spellStart"/>
      <w:r w:rsidRPr="0040543C">
        <w:rPr>
          <w:rStyle w:val="FontStyle12"/>
          <w:sz w:val="28"/>
          <w:szCs w:val="28"/>
        </w:rPr>
        <w:t>профорие</w:t>
      </w:r>
      <w:r w:rsidR="00B1379F">
        <w:rPr>
          <w:rStyle w:val="FontStyle12"/>
          <w:sz w:val="28"/>
          <w:szCs w:val="28"/>
        </w:rPr>
        <w:t>н</w:t>
      </w:r>
      <w:r w:rsidRPr="0040543C">
        <w:rPr>
          <w:rStyle w:val="FontStyle12"/>
          <w:sz w:val="28"/>
          <w:szCs w:val="28"/>
        </w:rPr>
        <w:t>тац</w:t>
      </w:r>
      <w:r w:rsidR="00B1379F">
        <w:rPr>
          <w:rStyle w:val="FontStyle12"/>
          <w:sz w:val="28"/>
          <w:szCs w:val="28"/>
        </w:rPr>
        <w:t>и</w:t>
      </w:r>
      <w:r w:rsidRPr="0040543C">
        <w:rPr>
          <w:rStyle w:val="FontStyle12"/>
          <w:sz w:val="28"/>
          <w:szCs w:val="28"/>
        </w:rPr>
        <w:t>он</w:t>
      </w:r>
      <w:r w:rsidR="00B1379F">
        <w:rPr>
          <w:rStyle w:val="FontStyle12"/>
          <w:sz w:val="28"/>
          <w:szCs w:val="28"/>
        </w:rPr>
        <w:t>н</w:t>
      </w:r>
      <w:r w:rsidRPr="0040543C">
        <w:rPr>
          <w:rStyle w:val="FontStyle12"/>
          <w:sz w:val="28"/>
          <w:szCs w:val="28"/>
        </w:rPr>
        <w:t>ые</w:t>
      </w:r>
      <w:proofErr w:type="spellEnd"/>
      <w:r w:rsidRPr="0040543C">
        <w:rPr>
          <w:rStyle w:val="FontStyle12"/>
          <w:sz w:val="28"/>
          <w:szCs w:val="28"/>
        </w:rPr>
        <w:t xml:space="preserve"> программы и практики, соотнесенные с Атласом новых профессий «</w:t>
      </w:r>
      <w:proofErr w:type="spellStart"/>
      <w:r w:rsidRPr="0040543C">
        <w:rPr>
          <w:rStyle w:val="FontStyle12"/>
          <w:sz w:val="28"/>
          <w:szCs w:val="28"/>
        </w:rPr>
        <w:t>Сколково</w:t>
      </w:r>
      <w:proofErr w:type="spellEnd"/>
      <w:r w:rsidRPr="0040543C">
        <w:rPr>
          <w:rStyle w:val="FontStyle12"/>
          <w:sz w:val="28"/>
          <w:szCs w:val="28"/>
        </w:rPr>
        <w:t>». В рамках проекта «Конструктор будущего» состоялся «</w:t>
      </w:r>
      <w:proofErr w:type="spellStart"/>
      <w:r w:rsidRPr="0040543C">
        <w:rPr>
          <w:rStyle w:val="FontStyle12"/>
          <w:sz w:val="28"/>
          <w:szCs w:val="28"/>
        </w:rPr>
        <w:t>Хакато</w:t>
      </w:r>
      <w:r w:rsidR="00B1379F">
        <w:rPr>
          <w:rStyle w:val="FontStyle12"/>
          <w:sz w:val="28"/>
          <w:szCs w:val="28"/>
        </w:rPr>
        <w:t>н</w:t>
      </w:r>
      <w:proofErr w:type="spellEnd"/>
      <w:r w:rsidRPr="0040543C">
        <w:rPr>
          <w:rStyle w:val="FontStyle12"/>
          <w:sz w:val="28"/>
          <w:szCs w:val="28"/>
        </w:rPr>
        <w:t xml:space="preserve"> профессий», творческо-проект</w:t>
      </w:r>
      <w:r w:rsidR="00B1379F">
        <w:rPr>
          <w:rStyle w:val="FontStyle12"/>
          <w:sz w:val="28"/>
          <w:szCs w:val="28"/>
        </w:rPr>
        <w:t>н</w:t>
      </w:r>
      <w:r w:rsidRPr="0040543C">
        <w:rPr>
          <w:rStyle w:val="FontStyle12"/>
          <w:sz w:val="28"/>
          <w:szCs w:val="28"/>
        </w:rPr>
        <w:t>ая встреча специалистов, занимающихся профессиональной ориентацией школьников. Абаканские школьники и педагоги встретились с Дмитрием Судаковым, руководителем проекта «Атласа новых профессий «</w:t>
      </w:r>
      <w:proofErr w:type="spellStart"/>
      <w:r w:rsidRPr="0040543C">
        <w:rPr>
          <w:rStyle w:val="FontStyle12"/>
          <w:sz w:val="28"/>
          <w:szCs w:val="28"/>
        </w:rPr>
        <w:t>Сколково</w:t>
      </w:r>
      <w:proofErr w:type="spellEnd"/>
      <w:r w:rsidRPr="0040543C">
        <w:rPr>
          <w:rStyle w:val="FontStyle12"/>
          <w:sz w:val="28"/>
          <w:szCs w:val="28"/>
        </w:rPr>
        <w:t>»</w:t>
      </w:r>
      <w:proofErr w:type="gramStart"/>
      <w:r w:rsidRPr="0040543C">
        <w:rPr>
          <w:rStyle w:val="FontStyle12"/>
          <w:sz w:val="28"/>
          <w:szCs w:val="28"/>
        </w:rPr>
        <w:t>.</w:t>
      </w:r>
      <w:proofErr w:type="gramEnd"/>
      <w:r w:rsidRPr="0040543C">
        <w:rPr>
          <w:rStyle w:val="FontStyle12"/>
          <w:sz w:val="28"/>
          <w:szCs w:val="28"/>
        </w:rPr>
        <w:t xml:space="preserve"> </w:t>
      </w:r>
      <w:proofErr w:type="gramStart"/>
      <w:r w:rsidRPr="0040543C">
        <w:rPr>
          <w:rStyle w:val="FontStyle12"/>
          <w:sz w:val="28"/>
          <w:szCs w:val="28"/>
        </w:rPr>
        <w:t>а</w:t>
      </w:r>
      <w:proofErr w:type="gramEnd"/>
      <w:r w:rsidRPr="0040543C">
        <w:rPr>
          <w:rStyle w:val="FontStyle12"/>
          <w:sz w:val="28"/>
          <w:szCs w:val="28"/>
        </w:rPr>
        <w:t xml:space="preserve"> 5 учреждений (школы №№ 1. 10. 25. гимназия, ли</w:t>
      </w:r>
      <w:r w:rsidR="00D67BD5">
        <w:rPr>
          <w:rStyle w:val="FontStyle12"/>
          <w:sz w:val="28"/>
          <w:szCs w:val="28"/>
        </w:rPr>
        <w:t>ц</w:t>
      </w:r>
      <w:r w:rsidRPr="0040543C">
        <w:rPr>
          <w:rStyle w:val="FontStyle12"/>
          <w:sz w:val="28"/>
          <w:szCs w:val="28"/>
        </w:rPr>
        <w:t xml:space="preserve">ей) получили уникальные учебно-игровые комплексы «Мир профессий будущего», в основе которых - новые технологии </w:t>
      </w:r>
      <w:proofErr w:type="spellStart"/>
      <w:r w:rsidRPr="0040543C">
        <w:rPr>
          <w:rStyle w:val="FontStyle12"/>
          <w:sz w:val="28"/>
          <w:szCs w:val="28"/>
        </w:rPr>
        <w:t>профориентацио</w:t>
      </w:r>
      <w:r w:rsidR="00D67BD5">
        <w:rPr>
          <w:rStyle w:val="FontStyle12"/>
          <w:sz w:val="28"/>
          <w:szCs w:val="28"/>
        </w:rPr>
        <w:t>нн</w:t>
      </w:r>
      <w:r w:rsidRPr="0040543C">
        <w:rPr>
          <w:rStyle w:val="FontStyle12"/>
          <w:sz w:val="28"/>
          <w:szCs w:val="28"/>
        </w:rPr>
        <w:t>ой</w:t>
      </w:r>
      <w:proofErr w:type="spellEnd"/>
      <w:r w:rsidRPr="0040543C">
        <w:rPr>
          <w:rStyle w:val="FontStyle12"/>
          <w:sz w:val="28"/>
          <w:szCs w:val="28"/>
        </w:rPr>
        <w:t xml:space="preserve"> работы. </w:t>
      </w:r>
      <w:proofErr w:type="gramStart"/>
      <w:r w:rsidRPr="0040543C">
        <w:rPr>
          <w:rStyle w:val="FontStyle12"/>
          <w:sz w:val="28"/>
          <w:szCs w:val="28"/>
        </w:rPr>
        <w:t>В конкурсных мероприятиях (см</w:t>
      </w:r>
      <w:r w:rsidR="00D67BD5">
        <w:rPr>
          <w:rStyle w:val="FontStyle12"/>
          <w:sz w:val="28"/>
          <w:szCs w:val="28"/>
        </w:rPr>
        <w:t>о</w:t>
      </w:r>
      <w:r w:rsidRPr="0040543C">
        <w:rPr>
          <w:rStyle w:val="FontStyle12"/>
          <w:sz w:val="28"/>
          <w:szCs w:val="28"/>
        </w:rPr>
        <w:t xml:space="preserve">тра профессионального самоопределения в 2019 г. приняли участие свыше 2500 школьников, участниками </w:t>
      </w:r>
      <w:proofErr w:type="spellStart"/>
      <w:r w:rsidRPr="0040543C">
        <w:rPr>
          <w:rStyle w:val="FontStyle12"/>
          <w:sz w:val="28"/>
          <w:szCs w:val="28"/>
        </w:rPr>
        <w:t>профорие</w:t>
      </w:r>
      <w:r w:rsidR="00D67BD5">
        <w:rPr>
          <w:rStyle w:val="FontStyle12"/>
          <w:sz w:val="28"/>
          <w:szCs w:val="28"/>
        </w:rPr>
        <w:t>н</w:t>
      </w:r>
      <w:r w:rsidRPr="0040543C">
        <w:rPr>
          <w:rStyle w:val="FontStyle12"/>
          <w:sz w:val="28"/>
          <w:szCs w:val="28"/>
        </w:rPr>
        <w:t>тационной</w:t>
      </w:r>
      <w:proofErr w:type="spellEnd"/>
      <w:r w:rsidRPr="0040543C">
        <w:rPr>
          <w:rStyle w:val="FontStyle12"/>
          <w:sz w:val="28"/>
          <w:szCs w:val="28"/>
        </w:rPr>
        <w:t xml:space="preserve"> </w:t>
      </w:r>
      <w:proofErr w:type="spellStart"/>
      <w:r w:rsidR="00D67BD5">
        <w:rPr>
          <w:rStyle w:val="FontStyle12"/>
          <w:sz w:val="28"/>
          <w:szCs w:val="28"/>
        </w:rPr>
        <w:t>про</w:t>
      </w:r>
      <w:r w:rsidRPr="0040543C">
        <w:rPr>
          <w:rStyle w:val="FontStyle12"/>
          <w:sz w:val="28"/>
          <w:szCs w:val="28"/>
        </w:rPr>
        <w:t>щад</w:t>
      </w:r>
      <w:r w:rsidR="00D67BD5">
        <w:rPr>
          <w:rStyle w:val="FontStyle12"/>
          <w:sz w:val="28"/>
          <w:szCs w:val="28"/>
        </w:rPr>
        <w:t>ки</w:t>
      </w:r>
      <w:proofErr w:type="spellEnd"/>
      <w:r w:rsidRPr="0040543C">
        <w:rPr>
          <w:rStyle w:val="FontStyle12"/>
          <w:sz w:val="28"/>
          <w:szCs w:val="28"/>
        </w:rPr>
        <w:t xml:space="preserve"> </w:t>
      </w:r>
      <w:r w:rsidR="00D67BD5">
        <w:rPr>
          <w:rStyle w:val="FontStyle12"/>
          <w:sz w:val="28"/>
          <w:szCs w:val="28"/>
        </w:rPr>
        <w:t>«</w:t>
      </w:r>
      <w:r w:rsidRPr="0040543C">
        <w:rPr>
          <w:rStyle w:val="FontStyle12"/>
          <w:sz w:val="28"/>
          <w:szCs w:val="28"/>
        </w:rPr>
        <w:t xml:space="preserve">Территория выбора» стали почти 1000 учащихся и родителей (законных представителей), которым в соответствии с федеральным проектом «Успех каждого ребенка» выданы конкретные рекомендации по построению </w:t>
      </w:r>
      <w:proofErr w:type="spellStart"/>
      <w:r w:rsidRPr="0040543C">
        <w:rPr>
          <w:rStyle w:val="FontStyle12"/>
          <w:sz w:val="28"/>
          <w:szCs w:val="28"/>
        </w:rPr>
        <w:t>предпрофессионал</w:t>
      </w:r>
      <w:r w:rsidR="00D67BD5">
        <w:rPr>
          <w:rStyle w:val="FontStyle12"/>
          <w:sz w:val="28"/>
          <w:szCs w:val="28"/>
        </w:rPr>
        <w:t>ьно</w:t>
      </w:r>
      <w:r w:rsidRPr="0040543C">
        <w:rPr>
          <w:rStyle w:val="FontStyle12"/>
          <w:sz w:val="28"/>
          <w:szCs w:val="28"/>
        </w:rPr>
        <w:t>й</w:t>
      </w:r>
      <w:proofErr w:type="spellEnd"/>
      <w:r w:rsidRPr="0040543C">
        <w:rPr>
          <w:rStyle w:val="FontStyle12"/>
          <w:sz w:val="28"/>
          <w:szCs w:val="28"/>
        </w:rPr>
        <w:t xml:space="preserve"> образовательной траектории соответственно выбранным профессиональным компетенциям.</w:t>
      </w:r>
      <w:proofErr w:type="gramEnd"/>
    </w:p>
    <w:p w:rsidR="005E4F3A" w:rsidRPr="0040543C" w:rsidRDefault="005E4F3A" w:rsidP="0040543C">
      <w:pPr>
        <w:pStyle w:val="Style10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Продолжен опыт получения школьниками рабочих профессий в учреждениях среднего профессионального образования. Партнерами на основе заключенных соглашений выступили: Абаканский строительный техникум. Хакасский колле</w:t>
      </w:r>
      <w:proofErr w:type="gramStart"/>
      <w:r w:rsidRPr="0040543C">
        <w:rPr>
          <w:rStyle w:val="FontStyle12"/>
          <w:sz w:val="28"/>
          <w:szCs w:val="28"/>
        </w:rPr>
        <w:t>дж стр</w:t>
      </w:r>
      <w:proofErr w:type="gramEnd"/>
      <w:r w:rsidRPr="0040543C">
        <w:rPr>
          <w:rStyle w:val="FontStyle12"/>
          <w:sz w:val="28"/>
          <w:szCs w:val="28"/>
        </w:rPr>
        <w:t>оительных технологий, экономики и сервиса. Техникум коммунального хозяйства</w:t>
      </w:r>
      <w:proofErr w:type="gramStart"/>
      <w:r w:rsidRPr="0040543C">
        <w:rPr>
          <w:rStyle w:val="FontStyle12"/>
          <w:sz w:val="28"/>
          <w:szCs w:val="28"/>
        </w:rPr>
        <w:t>.</w:t>
      </w:r>
      <w:proofErr w:type="gramEnd"/>
      <w:r w:rsidRPr="0040543C">
        <w:rPr>
          <w:rStyle w:val="FontStyle12"/>
          <w:sz w:val="28"/>
          <w:szCs w:val="28"/>
        </w:rPr>
        <w:t xml:space="preserve"> </w:t>
      </w:r>
      <w:proofErr w:type="gramStart"/>
      <w:r w:rsidRPr="0040543C">
        <w:rPr>
          <w:rStyle w:val="FontStyle12"/>
          <w:sz w:val="28"/>
          <w:szCs w:val="28"/>
        </w:rPr>
        <w:t>п</w:t>
      </w:r>
      <w:proofErr w:type="gramEnd"/>
      <w:r w:rsidRPr="0040543C">
        <w:rPr>
          <w:rStyle w:val="FontStyle12"/>
          <w:sz w:val="28"/>
          <w:szCs w:val="28"/>
        </w:rPr>
        <w:t xml:space="preserve">олитехнический колледж. 60 старшеклассников Абакана параллельно с обучением в школе получили документы об освоении профессиональных программ «водитель </w:t>
      </w:r>
      <w:proofErr w:type="spellStart"/>
      <w:r w:rsidRPr="0040543C">
        <w:rPr>
          <w:rStyle w:val="FontStyle12"/>
          <w:sz w:val="28"/>
          <w:szCs w:val="28"/>
        </w:rPr>
        <w:t>внедорожных</w:t>
      </w:r>
      <w:proofErr w:type="spellEnd"/>
      <w:r w:rsidRPr="0040543C">
        <w:rPr>
          <w:rStyle w:val="FontStyle12"/>
          <w:sz w:val="28"/>
          <w:szCs w:val="28"/>
        </w:rPr>
        <w:t xml:space="preserve"> транспортных средств», «электромонтер», «основы предпринимательства», «электросварщик-монтажник».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Второй год </w:t>
      </w:r>
      <w:r w:rsidR="00D67BD5">
        <w:rPr>
          <w:rStyle w:val="FontStyle12"/>
          <w:sz w:val="28"/>
          <w:szCs w:val="28"/>
        </w:rPr>
        <w:t>н</w:t>
      </w:r>
      <w:r w:rsidRPr="0040543C">
        <w:rPr>
          <w:rStyle w:val="FontStyle12"/>
          <w:sz w:val="28"/>
          <w:szCs w:val="28"/>
        </w:rPr>
        <w:t>а базе Центра детского творчества на основе сотрудничества с ОАО «Аэропорт Абакан» действует «</w:t>
      </w:r>
      <w:r w:rsidR="00D67BD5">
        <w:rPr>
          <w:rStyle w:val="FontStyle12"/>
          <w:sz w:val="28"/>
          <w:szCs w:val="28"/>
        </w:rPr>
        <w:t>Ш</w:t>
      </w:r>
      <w:r w:rsidRPr="0040543C">
        <w:rPr>
          <w:rStyle w:val="FontStyle12"/>
          <w:sz w:val="28"/>
          <w:szCs w:val="28"/>
        </w:rPr>
        <w:t xml:space="preserve">кола юных </w:t>
      </w:r>
      <w:r w:rsidRPr="00D67BD5">
        <w:rPr>
          <w:rStyle w:val="FontStyle12"/>
          <w:bCs/>
          <w:sz w:val="28"/>
          <w:szCs w:val="28"/>
        </w:rPr>
        <w:t>авиаторов»,</w:t>
      </w:r>
      <w:r w:rsidRPr="0040543C">
        <w:rPr>
          <w:rStyle w:val="FontStyle12"/>
          <w:b/>
          <w:bCs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 xml:space="preserve">в которой </w:t>
      </w:r>
      <w:r w:rsidR="00D67BD5" w:rsidRPr="00D67BD5">
        <w:rPr>
          <w:rStyle w:val="FontStyle12"/>
          <w:bCs/>
          <w:sz w:val="28"/>
          <w:szCs w:val="28"/>
        </w:rPr>
        <w:t>в</w:t>
      </w:r>
      <w:r w:rsidRPr="0040543C">
        <w:rPr>
          <w:rStyle w:val="FontStyle12"/>
          <w:b/>
          <w:bCs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2019 г. занимались 80 абаканских школьников, мечтающих связать свою жизнь с авиацией.</w:t>
      </w:r>
    </w:p>
    <w:p w:rsidR="005E4F3A" w:rsidRPr="0040543C" w:rsidRDefault="00D67BD5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</w:t>
      </w:r>
      <w:r w:rsidR="005E4F3A" w:rsidRPr="0040543C">
        <w:rPr>
          <w:rStyle w:val="FontStyle12"/>
          <w:sz w:val="28"/>
          <w:szCs w:val="28"/>
        </w:rPr>
        <w:t>таршеклассники школы № 26 и обучающиеся Центра детского творчества стали, в 2019</w:t>
      </w:r>
      <w:r>
        <w:rPr>
          <w:rStyle w:val="FontStyle12"/>
          <w:sz w:val="28"/>
          <w:szCs w:val="28"/>
        </w:rPr>
        <w:t> </w:t>
      </w:r>
      <w:r w:rsidR="005E4F3A" w:rsidRPr="0040543C">
        <w:rPr>
          <w:rStyle w:val="FontStyle12"/>
          <w:sz w:val="28"/>
          <w:szCs w:val="28"/>
        </w:rPr>
        <w:t>г. победителями региональных соревнований «Молодые профессионалы</w:t>
      </w:r>
      <w:r>
        <w:rPr>
          <w:rStyle w:val="FontStyle12"/>
          <w:sz w:val="28"/>
          <w:szCs w:val="28"/>
        </w:rPr>
        <w:t>»</w:t>
      </w:r>
      <w:r w:rsidR="005E4F3A" w:rsidRPr="0040543C">
        <w:rPr>
          <w:rStyle w:val="FontStyle12"/>
          <w:sz w:val="28"/>
          <w:szCs w:val="28"/>
        </w:rPr>
        <w:t xml:space="preserve"> сразу </w:t>
      </w:r>
      <w:r>
        <w:rPr>
          <w:rStyle w:val="FontStyle12"/>
          <w:sz w:val="28"/>
          <w:szCs w:val="28"/>
        </w:rPr>
        <w:t>п</w:t>
      </w:r>
      <w:r w:rsidR="005E4F3A" w:rsidRPr="0040543C">
        <w:rPr>
          <w:rStyle w:val="FontStyle12"/>
          <w:sz w:val="28"/>
          <w:szCs w:val="28"/>
        </w:rPr>
        <w:t>о нескольким компетенциям: «</w:t>
      </w:r>
      <w:proofErr w:type="spellStart"/>
      <w:r w:rsidR="005E4F3A" w:rsidRPr="0040543C">
        <w:rPr>
          <w:rStyle w:val="FontStyle12"/>
          <w:sz w:val="28"/>
          <w:szCs w:val="28"/>
        </w:rPr>
        <w:t>электоромо</w:t>
      </w:r>
      <w:r>
        <w:rPr>
          <w:rStyle w:val="FontStyle12"/>
          <w:sz w:val="28"/>
          <w:szCs w:val="28"/>
        </w:rPr>
        <w:t>н</w:t>
      </w:r>
      <w:r w:rsidR="005E4F3A" w:rsidRPr="0040543C">
        <w:rPr>
          <w:rStyle w:val="FontStyle12"/>
          <w:sz w:val="28"/>
          <w:szCs w:val="28"/>
        </w:rPr>
        <w:t>таж</w:t>
      </w:r>
      <w:proofErr w:type="spellEnd"/>
      <w:r w:rsidR="005E4F3A" w:rsidRPr="0040543C">
        <w:rPr>
          <w:rStyle w:val="FontStyle12"/>
          <w:sz w:val="28"/>
          <w:szCs w:val="28"/>
        </w:rPr>
        <w:t>», «парикмахерское дело», «технология моды». В составе республиканской команды они представили Хакасию па всероссийском этане соревнований «</w:t>
      </w:r>
      <w:proofErr w:type="spellStart"/>
      <w:r>
        <w:rPr>
          <w:rStyle w:val="FontStyle12"/>
          <w:sz w:val="28"/>
          <w:szCs w:val="28"/>
        </w:rPr>
        <w:t>Ворлдскилс</w:t>
      </w:r>
      <w:proofErr w:type="spellEnd"/>
      <w:r w:rsidR="005E4F3A" w:rsidRPr="0040543C">
        <w:rPr>
          <w:rStyle w:val="FontStyle12"/>
          <w:sz w:val="28"/>
          <w:szCs w:val="28"/>
        </w:rPr>
        <w:t>» в г. Казань.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В 2019 г. получило развитие новое направление работы по реализации программ дополнительного образования - кластерный подход. </w:t>
      </w:r>
      <w:r w:rsidR="00D67BD5">
        <w:rPr>
          <w:rStyle w:val="FontStyle12"/>
          <w:sz w:val="28"/>
          <w:szCs w:val="28"/>
        </w:rPr>
        <w:t>Н</w:t>
      </w:r>
      <w:r w:rsidRPr="0040543C">
        <w:rPr>
          <w:rStyle w:val="FontStyle12"/>
          <w:sz w:val="28"/>
          <w:szCs w:val="28"/>
        </w:rPr>
        <w:t>а основе взаимодействия с учреждениям п. подведомственными Управлению культуры</w:t>
      </w:r>
      <w:proofErr w:type="gramStart"/>
      <w:r w:rsidRPr="0040543C">
        <w:rPr>
          <w:rStyle w:val="FontStyle12"/>
          <w:sz w:val="28"/>
          <w:szCs w:val="28"/>
        </w:rPr>
        <w:t>.</w:t>
      </w:r>
      <w:proofErr w:type="gramEnd"/>
      <w:r w:rsidRPr="0040543C">
        <w:rPr>
          <w:rStyle w:val="FontStyle12"/>
          <w:sz w:val="28"/>
          <w:szCs w:val="28"/>
        </w:rPr>
        <w:t xml:space="preserve"> </w:t>
      </w:r>
      <w:proofErr w:type="gramStart"/>
      <w:r w:rsidRPr="0040543C">
        <w:rPr>
          <w:rStyle w:val="FontStyle12"/>
          <w:sz w:val="28"/>
          <w:szCs w:val="28"/>
        </w:rPr>
        <w:t>м</w:t>
      </w:r>
      <w:proofErr w:type="gramEnd"/>
      <w:r w:rsidRPr="0040543C">
        <w:rPr>
          <w:rStyle w:val="FontStyle12"/>
          <w:sz w:val="28"/>
          <w:szCs w:val="28"/>
        </w:rPr>
        <w:t xml:space="preserve">олодежи и спорта Администрации города Абакана, действовали территориальные образовательные кластеры: «Туризм - путь к здоровью» (школа № 25 и Детская юношеская школа по спортивному туризму). </w:t>
      </w:r>
      <w:proofErr w:type="gramStart"/>
      <w:r w:rsidRPr="0040543C">
        <w:rPr>
          <w:rStyle w:val="FontStyle12"/>
          <w:sz w:val="28"/>
          <w:szCs w:val="28"/>
        </w:rPr>
        <w:t xml:space="preserve">«Через ГТО - к спорту» (школа № 24 и 7 спортивных школ Абакана), территориальный образовательным кластер жилого района «Нижняя </w:t>
      </w:r>
      <w:proofErr w:type="spellStart"/>
      <w:r w:rsidRPr="0040543C">
        <w:rPr>
          <w:rStyle w:val="FontStyle12"/>
          <w:sz w:val="28"/>
          <w:szCs w:val="28"/>
        </w:rPr>
        <w:t>Согра</w:t>
      </w:r>
      <w:proofErr w:type="spellEnd"/>
      <w:r w:rsidRPr="0040543C">
        <w:rPr>
          <w:rStyle w:val="FontStyle12"/>
          <w:sz w:val="28"/>
          <w:szCs w:val="28"/>
        </w:rPr>
        <w:t>» (школа № 7. детский сад «Подснежник».</w:t>
      </w:r>
      <w:proofErr w:type="gramEnd"/>
      <w:r w:rsidRPr="0040543C">
        <w:rPr>
          <w:rStyle w:val="FontStyle12"/>
          <w:sz w:val="28"/>
          <w:szCs w:val="28"/>
        </w:rPr>
        <w:t xml:space="preserve"> Детская школа искусств Я" 1)</w:t>
      </w:r>
      <w:proofErr w:type="gramStart"/>
      <w:r w:rsidRPr="0040543C">
        <w:rPr>
          <w:rStyle w:val="FontStyle12"/>
          <w:sz w:val="28"/>
          <w:szCs w:val="28"/>
        </w:rPr>
        <w:t>.</w:t>
      </w:r>
      <w:proofErr w:type="gramEnd"/>
      <w:r w:rsidRPr="0040543C">
        <w:rPr>
          <w:rStyle w:val="FontStyle12"/>
          <w:sz w:val="28"/>
          <w:szCs w:val="28"/>
        </w:rPr>
        <w:t xml:space="preserve"> </w:t>
      </w:r>
      <w:proofErr w:type="gramStart"/>
      <w:r w:rsidRPr="0040543C">
        <w:rPr>
          <w:rStyle w:val="FontStyle12"/>
          <w:sz w:val="28"/>
          <w:szCs w:val="28"/>
        </w:rPr>
        <w:t>к</w:t>
      </w:r>
      <w:proofErr w:type="gramEnd"/>
      <w:r w:rsidRPr="0040543C">
        <w:rPr>
          <w:rStyle w:val="FontStyle12"/>
          <w:sz w:val="28"/>
          <w:szCs w:val="28"/>
        </w:rPr>
        <w:t xml:space="preserve">аникулярные кластеры «Мы вместе» (школа № 4. МБУДО </w:t>
      </w:r>
      <w:proofErr w:type="gramStart"/>
      <w:r w:rsidRPr="0040543C">
        <w:rPr>
          <w:rStyle w:val="FontStyle12"/>
          <w:sz w:val="28"/>
          <w:szCs w:val="28"/>
        </w:rPr>
        <w:t>ДЮС</w:t>
      </w:r>
      <w:r w:rsidR="00D67BD5">
        <w:rPr>
          <w:rStyle w:val="FontStyle12"/>
          <w:sz w:val="28"/>
          <w:szCs w:val="28"/>
        </w:rPr>
        <w:t>Ш</w:t>
      </w:r>
      <w:proofErr w:type="gramEnd"/>
      <w:r w:rsidRPr="0040543C">
        <w:rPr>
          <w:rStyle w:val="FontStyle12"/>
          <w:sz w:val="28"/>
          <w:szCs w:val="28"/>
        </w:rPr>
        <w:t xml:space="preserve"> но спортивному туризму. МБУК «КДЦ </w:t>
      </w:r>
      <w:r w:rsidR="00D67BD5">
        <w:rPr>
          <w:rStyle w:val="FontStyle12"/>
          <w:sz w:val="28"/>
          <w:szCs w:val="28"/>
        </w:rPr>
        <w:t>«</w:t>
      </w:r>
      <w:r w:rsidRPr="0040543C">
        <w:rPr>
          <w:rStyle w:val="FontStyle12"/>
          <w:sz w:val="28"/>
          <w:szCs w:val="28"/>
        </w:rPr>
        <w:t>Южный», детская библиотека № 2) и «Семь «Я» здорового отдыха» (школа № 11. МБУК «Городской обществе</w:t>
      </w:r>
      <w:r w:rsidR="00D67BD5">
        <w:rPr>
          <w:rStyle w:val="FontStyle12"/>
          <w:sz w:val="28"/>
          <w:szCs w:val="28"/>
        </w:rPr>
        <w:t>нн</w:t>
      </w:r>
      <w:r w:rsidRPr="0040543C">
        <w:rPr>
          <w:rStyle w:val="FontStyle12"/>
          <w:sz w:val="28"/>
          <w:szCs w:val="28"/>
        </w:rPr>
        <w:t>о-культур</w:t>
      </w:r>
      <w:r w:rsidR="00D67BD5">
        <w:rPr>
          <w:rStyle w:val="FontStyle12"/>
          <w:sz w:val="28"/>
          <w:szCs w:val="28"/>
        </w:rPr>
        <w:t>н</w:t>
      </w:r>
      <w:r w:rsidRPr="0040543C">
        <w:rPr>
          <w:rStyle w:val="FontStyle12"/>
          <w:sz w:val="28"/>
          <w:szCs w:val="28"/>
        </w:rPr>
        <w:t xml:space="preserve">ый центр по работе с населением по месту жительства». </w:t>
      </w:r>
      <w:proofErr w:type="gramStart"/>
      <w:r w:rsidRPr="0040543C">
        <w:rPr>
          <w:rStyle w:val="FontStyle12"/>
          <w:sz w:val="28"/>
          <w:szCs w:val="28"/>
        </w:rPr>
        <w:t>МБУК «АЦБС»).</w:t>
      </w:r>
      <w:proofErr w:type="gramEnd"/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Эффективному решению задач федерального проекта «Успех каждого ребенка» способствует реализация программ дополнительного образования детей в Центре детского творчества, детских садах и школах. Охват детей в возрасте от 5 до 18 лет</w:t>
      </w:r>
      <w:proofErr w:type="gramStart"/>
      <w:r w:rsidRPr="0040543C">
        <w:rPr>
          <w:rStyle w:val="FontStyle12"/>
          <w:sz w:val="28"/>
          <w:szCs w:val="28"/>
        </w:rPr>
        <w:t>.</w:t>
      </w:r>
      <w:proofErr w:type="gramEnd"/>
      <w:r w:rsidRPr="0040543C">
        <w:rPr>
          <w:rStyle w:val="FontStyle12"/>
          <w:sz w:val="28"/>
          <w:szCs w:val="28"/>
        </w:rPr>
        <w:t xml:space="preserve"> </w:t>
      </w:r>
      <w:proofErr w:type="gramStart"/>
      <w:r w:rsidRPr="0040543C">
        <w:rPr>
          <w:rStyle w:val="FontStyle12"/>
          <w:sz w:val="28"/>
          <w:szCs w:val="28"/>
        </w:rPr>
        <w:lastRenderedPageBreak/>
        <w:t>з</w:t>
      </w:r>
      <w:proofErr w:type="gramEnd"/>
      <w:r w:rsidRPr="0040543C">
        <w:rPr>
          <w:rStyle w:val="FontStyle12"/>
          <w:sz w:val="28"/>
          <w:szCs w:val="28"/>
        </w:rPr>
        <w:t xml:space="preserve">анятых дополнительным образованием в учреждениях, подведомственных ГУО. составил и 2019 году 77.5%. В 2019 г. получило развитие </w:t>
      </w:r>
      <w:r w:rsidR="00D67BD5">
        <w:rPr>
          <w:rStyle w:val="FontStyle12"/>
          <w:sz w:val="28"/>
          <w:szCs w:val="28"/>
        </w:rPr>
        <w:t>н</w:t>
      </w:r>
      <w:r w:rsidRPr="0040543C">
        <w:rPr>
          <w:rStyle w:val="FontStyle12"/>
          <w:sz w:val="28"/>
          <w:szCs w:val="28"/>
        </w:rPr>
        <w:t>овое направление работы по реализации программ дополнительного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образования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-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кластерный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подход.</w:t>
      </w:r>
      <w:r w:rsidR="0040543C">
        <w:rPr>
          <w:rStyle w:val="FontStyle12"/>
          <w:sz w:val="28"/>
          <w:szCs w:val="28"/>
        </w:rPr>
        <w:t xml:space="preserve"> </w:t>
      </w:r>
      <w:r w:rsidR="00D67BD5">
        <w:rPr>
          <w:rStyle w:val="FontStyle12"/>
          <w:sz w:val="28"/>
          <w:szCs w:val="28"/>
        </w:rPr>
        <w:t>Н</w:t>
      </w:r>
      <w:r w:rsidRPr="0040543C">
        <w:rPr>
          <w:rStyle w:val="FontStyle12"/>
          <w:sz w:val="28"/>
          <w:szCs w:val="28"/>
        </w:rPr>
        <w:t>а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основе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взаимодействия с</w:t>
      </w:r>
      <w:r w:rsidR="00D67BD5">
        <w:rPr>
          <w:rStyle w:val="FontStyle12"/>
          <w:sz w:val="28"/>
          <w:szCs w:val="28"/>
        </w:rPr>
        <w:t xml:space="preserve"> учреждениями, подведомственны</w:t>
      </w:r>
      <w:r w:rsidRPr="0040543C">
        <w:rPr>
          <w:rStyle w:val="FontStyle12"/>
          <w:sz w:val="28"/>
          <w:szCs w:val="28"/>
        </w:rPr>
        <w:t xml:space="preserve">ми Управлению культуры, молодежи и спорта Администрации города Абакана, действовали территориальные образовательные кластеры: «Туризм - путь к здоровью» (школа № 25 и Детская юношеская школа по спортивному туризму). </w:t>
      </w:r>
      <w:proofErr w:type="gramStart"/>
      <w:r w:rsidRPr="0040543C">
        <w:rPr>
          <w:rStyle w:val="FontStyle12"/>
          <w:sz w:val="28"/>
          <w:szCs w:val="28"/>
        </w:rPr>
        <w:t xml:space="preserve">«Через ГТО - к спорту» (школа № 24 и 7 спортивных школ Абакана), территориальный образовательный кластер жилого района «Нижняя </w:t>
      </w:r>
      <w:proofErr w:type="spellStart"/>
      <w:r w:rsidRPr="0040543C">
        <w:rPr>
          <w:rStyle w:val="FontStyle12"/>
          <w:sz w:val="28"/>
          <w:szCs w:val="28"/>
        </w:rPr>
        <w:t>Согра</w:t>
      </w:r>
      <w:proofErr w:type="spellEnd"/>
      <w:r w:rsidRPr="0040543C">
        <w:rPr>
          <w:rStyle w:val="FontStyle12"/>
          <w:sz w:val="28"/>
          <w:szCs w:val="28"/>
        </w:rPr>
        <w:t>» (школа № 7. детский сад «Подснежник».</w:t>
      </w:r>
      <w:proofErr w:type="gramEnd"/>
      <w:r w:rsidRPr="0040543C">
        <w:rPr>
          <w:rStyle w:val="FontStyle12"/>
          <w:sz w:val="28"/>
          <w:szCs w:val="28"/>
        </w:rPr>
        <w:t xml:space="preserve"> Детская школа искусств № 1)</w:t>
      </w:r>
      <w:proofErr w:type="gramStart"/>
      <w:r w:rsidRPr="0040543C">
        <w:rPr>
          <w:rStyle w:val="FontStyle12"/>
          <w:sz w:val="28"/>
          <w:szCs w:val="28"/>
        </w:rPr>
        <w:t>.</w:t>
      </w:r>
      <w:proofErr w:type="gramEnd"/>
      <w:r w:rsidRPr="0040543C">
        <w:rPr>
          <w:rStyle w:val="FontStyle12"/>
          <w:sz w:val="28"/>
          <w:szCs w:val="28"/>
        </w:rPr>
        <w:t xml:space="preserve"> </w:t>
      </w:r>
      <w:proofErr w:type="gramStart"/>
      <w:r w:rsidRPr="0040543C">
        <w:rPr>
          <w:rStyle w:val="FontStyle12"/>
          <w:sz w:val="28"/>
          <w:szCs w:val="28"/>
        </w:rPr>
        <w:t>к</w:t>
      </w:r>
      <w:proofErr w:type="gramEnd"/>
      <w:r w:rsidRPr="0040543C">
        <w:rPr>
          <w:rStyle w:val="FontStyle12"/>
          <w:sz w:val="28"/>
          <w:szCs w:val="28"/>
        </w:rPr>
        <w:t xml:space="preserve">аникулярные кластеры «Мы вместе» (школа № 4. МБУДО ДЮС 1.1.1 по спортивному туризму. МБУК «КДЦ "Южный», детская библиотека № 2) и «Семь «Я» здорового отдыха» (школа № 11. </w:t>
      </w:r>
      <w:proofErr w:type="gramStart"/>
      <w:r w:rsidRPr="0040543C">
        <w:rPr>
          <w:rStyle w:val="FontStyle12"/>
          <w:sz w:val="28"/>
          <w:szCs w:val="28"/>
        </w:rPr>
        <w:t>МБУК «Городской общественно-культурный центр по работе с населением по месту жительства», МБУК «АЦБС»).</w:t>
      </w:r>
      <w:proofErr w:type="gramEnd"/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В 2019 продолжена работа Детского городского совета, созданного с целью обеспечения участия детей в решени</w:t>
      </w:r>
      <w:r w:rsidR="00D67BD5">
        <w:rPr>
          <w:rStyle w:val="FontStyle12"/>
          <w:sz w:val="28"/>
          <w:szCs w:val="28"/>
        </w:rPr>
        <w:t>и вопросов, затрагивающих их ин</w:t>
      </w:r>
      <w:r w:rsidRPr="0040543C">
        <w:rPr>
          <w:rStyle w:val="FontStyle12"/>
          <w:sz w:val="28"/>
          <w:szCs w:val="28"/>
        </w:rPr>
        <w:t>тересы. В состав Детского городского совета входят 23 лидера школьно</w:t>
      </w:r>
      <w:r w:rsidR="00D67BD5">
        <w:rPr>
          <w:rStyle w:val="FontStyle12"/>
          <w:sz w:val="28"/>
          <w:szCs w:val="28"/>
        </w:rPr>
        <w:t>го</w:t>
      </w:r>
      <w:r w:rsidRPr="0040543C">
        <w:rPr>
          <w:rStyle w:val="FontStyle12"/>
          <w:sz w:val="28"/>
          <w:szCs w:val="28"/>
        </w:rPr>
        <w:t xml:space="preserve"> ученического самоуправления, детских общественных объединений Абакана. В течение отчетного периода состоялось 4 заседания Детского городского совета, па которых рассмотрены вопросы участия школьников в акции «Абакан -</w:t>
      </w:r>
      <w:r w:rsidR="00D67BD5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 xml:space="preserve">культурный город», городском информационном проекте «Изучаем правила городской жизни вместе», городском молодежном проекте «Я </w:t>
      </w:r>
      <w:r w:rsidR="00D67BD5">
        <w:rPr>
          <w:rStyle w:val="FontStyle12"/>
          <w:sz w:val="28"/>
          <w:szCs w:val="28"/>
        </w:rPr>
        <w:t>-</w:t>
      </w:r>
      <w:r w:rsidRPr="0040543C">
        <w:rPr>
          <w:rStyle w:val="FontStyle12"/>
          <w:sz w:val="28"/>
          <w:szCs w:val="28"/>
        </w:rPr>
        <w:t xml:space="preserve"> </w:t>
      </w:r>
      <w:proofErr w:type="spellStart"/>
      <w:r w:rsidRPr="0040543C">
        <w:rPr>
          <w:rStyle w:val="FontStyle12"/>
          <w:sz w:val="28"/>
          <w:szCs w:val="28"/>
        </w:rPr>
        <w:t>абаканец</w:t>
      </w:r>
      <w:proofErr w:type="spellEnd"/>
      <w:r w:rsidRPr="0040543C">
        <w:rPr>
          <w:rStyle w:val="FontStyle12"/>
          <w:sz w:val="28"/>
          <w:szCs w:val="28"/>
        </w:rPr>
        <w:t>»</w:t>
      </w:r>
      <w:proofErr w:type="gramStart"/>
      <w:r w:rsidRPr="0040543C">
        <w:rPr>
          <w:rStyle w:val="FontStyle12"/>
          <w:sz w:val="28"/>
          <w:szCs w:val="28"/>
        </w:rPr>
        <w:t>.</w:t>
      </w:r>
      <w:proofErr w:type="gramEnd"/>
      <w:r w:rsidRPr="0040543C">
        <w:rPr>
          <w:rStyle w:val="FontStyle12"/>
          <w:sz w:val="28"/>
          <w:szCs w:val="28"/>
        </w:rPr>
        <w:t xml:space="preserve"> </w:t>
      </w:r>
      <w:proofErr w:type="gramStart"/>
      <w:r w:rsidRPr="0040543C">
        <w:rPr>
          <w:rStyle w:val="FontStyle12"/>
          <w:sz w:val="28"/>
          <w:szCs w:val="28"/>
        </w:rPr>
        <w:t>г</w:t>
      </w:r>
      <w:proofErr w:type="gramEnd"/>
      <w:r w:rsidRPr="0040543C">
        <w:rPr>
          <w:rStyle w:val="FontStyle12"/>
          <w:sz w:val="28"/>
          <w:szCs w:val="28"/>
        </w:rPr>
        <w:t>ородском проекте, посвященном 75-летию Великой Победы «Вечный огонь памяти», о роли детских общественных объединений в решении экологических проблем города.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proofErr w:type="gramStart"/>
      <w:r w:rsidRPr="0040543C">
        <w:rPr>
          <w:rStyle w:val="FontStyle12"/>
          <w:sz w:val="28"/>
          <w:szCs w:val="28"/>
        </w:rPr>
        <w:t>Все образовательные учреждения стали активными участниками праздничных мероприятий, посвященных 74-ой годовщине Победы: 6 мая 2018 года более 400 школьников Абакана в двадцать второй раз заступили в Почетный Караул у Вечного огня, 9 мая 2019 гола более 5 тысяч представителей образовательных учреждений прошли с портретами дедов и прадедов в рядах «Бессмертного полка». 13 образовательных учреждениях проведено более 500 мероприятий патриотической направленности</w:t>
      </w:r>
      <w:proofErr w:type="gramEnd"/>
      <w:r w:rsidRPr="0040543C">
        <w:rPr>
          <w:rStyle w:val="FontStyle12"/>
          <w:sz w:val="28"/>
          <w:szCs w:val="28"/>
        </w:rPr>
        <w:t xml:space="preserve">: музейные уроки. Уроки мужества. Уроки Победы. В 2019 г. стартовала акция «Вечный огонь памяти», в рамках которой почти 16000 школьников стали участниками культурно-просветительских мероприятий в </w:t>
      </w:r>
      <w:r w:rsidR="00D67BD5">
        <w:rPr>
          <w:rStyle w:val="FontStyle12"/>
          <w:sz w:val="28"/>
          <w:szCs w:val="28"/>
        </w:rPr>
        <w:t>П</w:t>
      </w:r>
      <w:r w:rsidRPr="0040543C">
        <w:rPr>
          <w:rStyle w:val="FontStyle12"/>
          <w:sz w:val="28"/>
          <w:szCs w:val="28"/>
        </w:rPr>
        <w:t xml:space="preserve">арке </w:t>
      </w:r>
      <w:r w:rsidR="00D67BD5">
        <w:rPr>
          <w:rStyle w:val="FontStyle12"/>
          <w:sz w:val="28"/>
          <w:szCs w:val="28"/>
        </w:rPr>
        <w:t>П</w:t>
      </w:r>
      <w:r w:rsidRPr="0040543C">
        <w:rPr>
          <w:rStyle w:val="FontStyle12"/>
          <w:sz w:val="28"/>
          <w:szCs w:val="28"/>
        </w:rPr>
        <w:t>обеды города Абакана. И это направление деятельности в Год</w:t>
      </w:r>
      <w:r w:rsidR="00955E6C">
        <w:rPr>
          <w:rStyle w:val="FontStyle12"/>
          <w:sz w:val="28"/>
          <w:szCs w:val="28"/>
        </w:rPr>
        <w:t>,</w:t>
      </w:r>
      <w:r w:rsidRPr="0040543C">
        <w:rPr>
          <w:rStyle w:val="FontStyle12"/>
          <w:sz w:val="28"/>
          <w:szCs w:val="28"/>
        </w:rPr>
        <w:t xml:space="preserve"> объявленный в России Годом памяти и славы, останется ведущим.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В 2019 г. продолжена работа по созданию эффективных условий для </w:t>
      </w:r>
      <w:proofErr w:type="gramStart"/>
      <w:r w:rsidRPr="0040543C">
        <w:rPr>
          <w:rStyle w:val="FontStyle12"/>
          <w:sz w:val="28"/>
          <w:szCs w:val="28"/>
        </w:rPr>
        <w:t>научно-техническою</w:t>
      </w:r>
      <w:proofErr w:type="gramEnd"/>
      <w:r w:rsidRPr="0040543C">
        <w:rPr>
          <w:rStyle w:val="FontStyle12"/>
          <w:sz w:val="28"/>
          <w:szCs w:val="28"/>
        </w:rPr>
        <w:t xml:space="preserve"> творчества обучающихся. </w:t>
      </w:r>
      <w:proofErr w:type="gramStart"/>
      <w:r w:rsidRPr="0040543C">
        <w:rPr>
          <w:rStyle w:val="FontStyle12"/>
          <w:sz w:val="28"/>
          <w:szCs w:val="28"/>
        </w:rPr>
        <w:t xml:space="preserve">Центр детского творчества в течение года режиме региональною Координационного центра движения </w:t>
      </w:r>
      <w:proofErr w:type="spellStart"/>
      <w:r w:rsidR="00955E6C">
        <w:rPr>
          <w:rStyle w:val="FontStyle12"/>
          <w:sz w:val="28"/>
          <w:szCs w:val="28"/>
        </w:rPr>
        <w:t>Ворлдскилз</w:t>
      </w:r>
      <w:proofErr w:type="spellEnd"/>
      <w:r w:rsidRPr="0040543C">
        <w:rPr>
          <w:rStyle w:val="FontStyle12"/>
          <w:sz w:val="28"/>
          <w:szCs w:val="28"/>
        </w:rPr>
        <w:t xml:space="preserve"> по компетенции «Мобильная робототехника», республиканской инновационной площадки «Модель развития </w:t>
      </w:r>
      <w:proofErr w:type="spellStart"/>
      <w:r w:rsidRPr="0040543C">
        <w:rPr>
          <w:rStyle w:val="FontStyle12"/>
          <w:sz w:val="28"/>
          <w:szCs w:val="28"/>
        </w:rPr>
        <w:t>техносферы</w:t>
      </w:r>
      <w:proofErr w:type="spellEnd"/>
      <w:r w:rsidRPr="0040543C">
        <w:rPr>
          <w:rStyle w:val="FontStyle12"/>
          <w:sz w:val="28"/>
          <w:szCs w:val="28"/>
        </w:rPr>
        <w:t xml:space="preserve"> учреждения дополнительного образования как основы формирования инженерно-технических, </w:t>
      </w:r>
      <w:proofErr w:type="spellStart"/>
      <w:r w:rsidRPr="0040543C">
        <w:rPr>
          <w:rStyle w:val="FontStyle12"/>
          <w:sz w:val="28"/>
          <w:szCs w:val="28"/>
        </w:rPr>
        <w:t>исследовательеко-копструк</w:t>
      </w:r>
      <w:proofErr w:type="spellEnd"/>
      <w:r w:rsidRPr="0040543C">
        <w:rPr>
          <w:rStyle w:val="FontStyle12"/>
          <w:sz w:val="28"/>
          <w:szCs w:val="28"/>
        </w:rPr>
        <w:t xml:space="preserve"> </w:t>
      </w:r>
      <w:proofErr w:type="spellStart"/>
      <w:r w:rsidRPr="0040543C">
        <w:rPr>
          <w:rStyle w:val="FontStyle12"/>
          <w:sz w:val="28"/>
          <w:szCs w:val="28"/>
        </w:rPr>
        <w:t>гнреких</w:t>
      </w:r>
      <w:proofErr w:type="spellEnd"/>
      <w:r w:rsidRPr="0040543C">
        <w:rPr>
          <w:rStyle w:val="FontStyle12"/>
          <w:sz w:val="28"/>
          <w:szCs w:val="28"/>
        </w:rPr>
        <w:t xml:space="preserve"> ком не </w:t>
      </w:r>
      <w:r w:rsidRPr="0040543C">
        <w:rPr>
          <w:rStyle w:val="FontStyle12"/>
          <w:b/>
          <w:bCs/>
          <w:sz w:val="28"/>
          <w:szCs w:val="28"/>
        </w:rPr>
        <w:t xml:space="preserve">I </w:t>
      </w:r>
      <w:proofErr w:type="spellStart"/>
      <w:r w:rsidRPr="0040543C">
        <w:rPr>
          <w:rStyle w:val="FontStyle12"/>
          <w:sz w:val="28"/>
          <w:szCs w:val="28"/>
        </w:rPr>
        <w:t>емтпос</w:t>
      </w:r>
      <w:proofErr w:type="spellEnd"/>
      <w:r w:rsidRP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b/>
          <w:bCs/>
          <w:sz w:val="28"/>
          <w:szCs w:val="28"/>
        </w:rPr>
        <w:t xml:space="preserve">I </w:t>
      </w:r>
      <w:r w:rsidRPr="0040543C">
        <w:rPr>
          <w:rStyle w:val="FontStyle12"/>
          <w:sz w:val="28"/>
          <w:szCs w:val="28"/>
        </w:rPr>
        <w:t>ей учащихся».</w:t>
      </w:r>
      <w:proofErr w:type="gramEnd"/>
      <w:r w:rsidRPr="0040543C">
        <w:rPr>
          <w:rStyle w:val="FontStyle12"/>
          <w:sz w:val="28"/>
          <w:szCs w:val="28"/>
        </w:rPr>
        <w:t xml:space="preserve"> Более 600 обучающихся стали победителями конкурсных мероприятий инженерно-технической направленности, в том числе «</w:t>
      </w:r>
      <w:proofErr w:type="spellStart"/>
      <w:r w:rsidRPr="0040543C">
        <w:rPr>
          <w:rStyle w:val="FontStyle12"/>
          <w:sz w:val="28"/>
          <w:szCs w:val="28"/>
        </w:rPr>
        <w:t>Робопроф</w:t>
      </w:r>
      <w:proofErr w:type="spellEnd"/>
      <w:r w:rsidRPr="0040543C">
        <w:rPr>
          <w:rStyle w:val="FontStyle12"/>
          <w:sz w:val="28"/>
          <w:szCs w:val="28"/>
        </w:rPr>
        <w:t>» (г. Красноярск). «</w:t>
      </w:r>
      <w:proofErr w:type="spellStart"/>
      <w:r w:rsidRPr="0040543C">
        <w:rPr>
          <w:rStyle w:val="FontStyle12"/>
          <w:sz w:val="28"/>
          <w:szCs w:val="28"/>
        </w:rPr>
        <w:t>Робоснб</w:t>
      </w:r>
      <w:proofErr w:type="spellEnd"/>
      <w:r w:rsidRPr="0040543C">
        <w:rPr>
          <w:rStyle w:val="FontStyle12"/>
          <w:sz w:val="28"/>
          <w:szCs w:val="28"/>
        </w:rPr>
        <w:t>» (г. Иркутск). «</w:t>
      </w:r>
      <w:proofErr w:type="spellStart"/>
      <w:r w:rsidRPr="0040543C">
        <w:rPr>
          <w:rStyle w:val="FontStyle12"/>
          <w:sz w:val="28"/>
          <w:szCs w:val="28"/>
        </w:rPr>
        <w:t>Робофест</w:t>
      </w:r>
      <w:proofErr w:type="spellEnd"/>
      <w:r w:rsidRPr="0040543C">
        <w:rPr>
          <w:rStyle w:val="FontStyle12"/>
          <w:sz w:val="28"/>
          <w:szCs w:val="28"/>
        </w:rPr>
        <w:t>» (г. Омск). «ПРОФГХТ» (г. Москва) и др.</w:t>
      </w:r>
    </w:p>
    <w:p w:rsidR="005E4F3A" w:rsidRPr="0040543C" w:rsidRDefault="005E4F3A" w:rsidP="0040543C">
      <w:pPr>
        <w:pStyle w:val="Style10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В период летних каникул 2019 года в 24 муниципальных учреждениях </w:t>
      </w:r>
      <w:proofErr w:type="spellStart"/>
      <w:proofErr w:type="gramStart"/>
      <w:r w:rsidRPr="0040543C">
        <w:rPr>
          <w:rStyle w:val="FontStyle12"/>
          <w:sz w:val="28"/>
          <w:szCs w:val="28"/>
        </w:rPr>
        <w:t>дейс</w:t>
      </w:r>
      <w:proofErr w:type="spellEnd"/>
      <w:r w:rsidRPr="0040543C">
        <w:rPr>
          <w:rStyle w:val="FontStyle12"/>
          <w:sz w:val="28"/>
          <w:szCs w:val="28"/>
        </w:rPr>
        <w:t xml:space="preserve"> </w:t>
      </w:r>
      <w:proofErr w:type="spellStart"/>
      <w:r w:rsidRPr="0040543C">
        <w:rPr>
          <w:rStyle w:val="FontStyle12"/>
          <w:sz w:val="28"/>
          <w:szCs w:val="28"/>
        </w:rPr>
        <w:t>твовали</w:t>
      </w:r>
      <w:proofErr w:type="spellEnd"/>
      <w:proofErr w:type="gramEnd"/>
      <w:r w:rsidRPr="0040543C">
        <w:rPr>
          <w:rStyle w:val="FontStyle12"/>
          <w:sz w:val="28"/>
          <w:szCs w:val="28"/>
        </w:rPr>
        <w:t xml:space="preserve"> лагеря дневного пребывания, которые посещали 4476 детей (в 2019 г. - 4416 чел.). На базе оздоровительных учреждений с дневным пребыванием работали детские лагеря определенной тематической направленности (в школе № 22 - пол и культурный лагерь, в школах №№ 24. 25 -спортивно-туристические лагеря, школа № 7 - тематическая </w:t>
      </w:r>
      <w:r w:rsidRPr="0040543C">
        <w:rPr>
          <w:rStyle w:val="FontStyle12"/>
          <w:sz w:val="28"/>
          <w:szCs w:val="28"/>
        </w:rPr>
        <w:lastRenderedPageBreak/>
        <w:t>программа «Лето с РДШ» и др.). Увеличено количество отрядов спортивного направления: в 2019 году действовало 43 отряда (и 2018 г. - 41 отряд, в 2017 г. - 37 отрядов). В течение трех летних месяцев действовали спортивные площадки школ. Данная форма летней занятости востребована: за 3 летних месяца спортивные площадки посетили более 8760 человек (в 2018 г. - 8620 чел.).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Летом 2019 г. была организована трудовая занятость школьников. </w:t>
      </w:r>
      <w:proofErr w:type="gramStart"/>
      <w:r w:rsidRPr="0040543C">
        <w:rPr>
          <w:rStyle w:val="FontStyle12"/>
          <w:sz w:val="28"/>
          <w:szCs w:val="28"/>
        </w:rPr>
        <w:t>В 22 учреждениях действовали трудовые отряды школьников, в которых временное трудоустройство получили 395 старшеклассников: па базе Центра детского творчества был организован лагерь труда и отдыха с дневным пребыванием, в котором трудились и отдыхали 20 школьников (в 2018 г.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15</w:t>
      </w:r>
      <w:proofErr w:type="gramEnd"/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  <w:sectPr w:rsidR="005E4F3A" w:rsidRPr="0040543C" w:rsidSect="0040543C">
          <w:pgSz w:w="11909" w:h="16834"/>
          <w:pgMar w:top="567" w:right="567" w:bottom="567" w:left="567" w:header="720" w:footer="720" w:gutter="0"/>
          <w:cols w:space="720"/>
          <w:noEndnote/>
        </w:sectPr>
      </w:pP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lastRenderedPageBreak/>
        <w:t>чел.). Временные трудовые места в 2019 г. предоставили МБУ «Абаканское парковое хозяйство» и городской детский парк «Орленок».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В 2019 г. охват горячим питанием школьников Абакана составил 94.2%. Для отдельных категорий обучающихся предоставлено льготное питание. Общее количество </w:t>
      </w:r>
      <w:proofErr w:type="spellStart"/>
      <w:r w:rsidRPr="0040543C">
        <w:rPr>
          <w:rStyle w:val="FontStyle12"/>
          <w:sz w:val="28"/>
          <w:szCs w:val="28"/>
        </w:rPr>
        <w:t>дез</w:t>
      </w:r>
      <w:proofErr w:type="spellEnd"/>
      <w:r w:rsidRPr="0040543C">
        <w:rPr>
          <w:rStyle w:val="FontStyle12"/>
          <w:sz w:val="28"/>
          <w:szCs w:val="28"/>
        </w:rPr>
        <w:t xml:space="preserve"> ей. получающих льготное питание в </w:t>
      </w:r>
      <w:proofErr w:type="gramStart"/>
      <w:r w:rsidRPr="0040543C">
        <w:rPr>
          <w:rStyle w:val="FontStyle12"/>
          <w:sz w:val="28"/>
          <w:szCs w:val="28"/>
        </w:rPr>
        <w:t>-т</w:t>
      </w:r>
      <w:proofErr w:type="gramEnd"/>
      <w:r w:rsidRPr="0040543C">
        <w:rPr>
          <w:rStyle w:val="FontStyle12"/>
          <w:sz w:val="28"/>
          <w:szCs w:val="28"/>
        </w:rPr>
        <w:t>ечение года. - 2614 чел. Летом 2019 гола за счет средств, предусмотренных в муниципальном программе «Развитие образования в городе Абакане па 2017-2020 годы», бесплатное оздоровительное питание получали 463 учащихся.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В течение 2014-2019 гг. в практике профилактической работы появились новые формы, </w:t>
      </w:r>
      <w:r w:rsidRPr="0040543C">
        <w:rPr>
          <w:rStyle w:val="FontStyle12"/>
          <w:b/>
          <w:bCs/>
          <w:sz w:val="28"/>
          <w:szCs w:val="28"/>
        </w:rPr>
        <w:t xml:space="preserve">направленные </w:t>
      </w:r>
      <w:r w:rsidRPr="0040543C">
        <w:rPr>
          <w:rStyle w:val="FontStyle12"/>
          <w:sz w:val="28"/>
          <w:szCs w:val="28"/>
        </w:rPr>
        <w:t>на повышение эффективности межведомственного взаимодействия. В 2019 г. проведена серия межведомственных совещании по актуальным проблемам организации профилактической работы с участием всех субъектов профилактики, прокуратуры, представителей науки, родительской общественности, специалистов в области семьи и детства. III Городской форум «Город. Семья. Дети» собрал почти 2000 неравнодушных людей для обсуждения современных подходов к работе с детьми и семьями. Проект «Городская модель восстановительных практик «</w:t>
      </w:r>
      <w:proofErr w:type="spellStart"/>
      <w:r w:rsidRPr="0040543C">
        <w:rPr>
          <w:rStyle w:val="FontStyle12"/>
          <w:sz w:val="28"/>
          <w:szCs w:val="28"/>
        </w:rPr>
        <w:t>Семьеграфия</w:t>
      </w:r>
      <w:proofErr w:type="spellEnd"/>
      <w:r w:rsidRPr="0040543C">
        <w:rPr>
          <w:rStyle w:val="FontStyle12"/>
          <w:sz w:val="28"/>
          <w:szCs w:val="28"/>
        </w:rPr>
        <w:t xml:space="preserve">» признан одним из лучших в конкурсном отборе Фонда поддержки детей, находящихся в трудной жизненной ситуации, проведена большая работа по формированию новых практик семейной </w:t>
      </w:r>
      <w:proofErr w:type="spellStart"/>
      <w:r w:rsidRPr="0040543C">
        <w:rPr>
          <w:rStyle w:val="FontStyle12"/>
          <w:sz w:val="28"/>
          <w:szCs w:val="28"/>
        </w:rPr>
        <w:t>досуговой</w:t>
      </w:r>
      <w:proofErr w:type="spellEnd"/>
      <w:r w:rsidRPr="0040543C">
        <w:rPr>
          <w:rStyle w:val="FontStyle12"/>
          <w:sz w:val="28"/>
          <w:szCs w:val="28"/>
        </w:rPr>
        <w:t xml:space="preserve"> занятости, социального наставничества, обозначены пути адресного решения проблем детского неблагополучия.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Совершенствованию индивидуально-профилактической работы с несовершеннолетними, состоящими на профилактическом учете, семьями и детьми, оказавшимися </w:t>
      </w:r>
      <w:proofErr w:type="spellStart"/>
      <w:r w:rsidRPr="0040543C">
        <w:rPr>
          <w:rStyle w:val="FontStyle12"/>
          <w:sz w:val="28"/>
          <w:szCs w:val="28"/>
        </w:rPr>
        <w:t>н</w:t>
      </w:r>
      <w:proofErr w:type="spellEnd"/>
      <w:r w:rsidRPr="0040543C">
        <w:rPr>
          <w:rStyle w:val="FontStyle12"/>
          <w:sz w:val="28"/>
          <w:szCs w:val="28"/>
        </w:rPr>
        <w:t xml:space="preserve"> социально опасном </w:t>
      </w:r>
      <w:proofErr w:type="spellStart"/>
      <w:r w:rsidRPr="0040543C">
        <w:rPr>
          <w:rStyle w:val="FontStyle12"/>
          <w:sz w:val="28"/>
          <w:szCs w:val="28"/>
        </w:rPr>
        <w:t>положенин</w:t>
      </w:r>
      <w:proofErr w:type="spellEnd"/>
      <w:r w:rsidRPr="0040543C">
        <w:rPr>
          <w:rStyle w:val="FontStyle12"/>
          <w:sz w:val="28"/>
          <w:szCs w:val="28"/>
        </w:rPr>
        <w:t xml:space="preserve"> и нуждающимися в </w:t>
      </w:r>
      <w:proofErr w:type="spellStart"/>
      <w:r w:rsidRPr="0040543C">
        <w:rPr>
          <w:rStyle w:val="FontStyle12"/>
          <w:sz w:val="28"/>
          <w:szCs w:val="28"/>
        </w:rPr>
        <w:t>пси</w:t>
      </w:r>
      <w:proofErr w:type="gramStart"/>
      <w:r w:rsidRPr="0040543C">
        <w:rPr>
          <w:rStyle w:val="FontStyle12"/>
          <w:sz w:val="28"/>
          <w:szCs w:val="28"/>
        </w:rPr>
        <w:t>.х</w:t>
      </w:r>
      <w:proofErr w:type="gramEnd"/>
      <w:r w:rsidRPr="0040543C">
        <w:rPr>
          <w:rStyle w:val="FontStyle12"/>
          <w:sz w:val="28"/>
          <w:szCs w:val="28"/>
        </w:rPr>
        <w:t>олого-педагогической</w:t>
      </w:r>
      <w:proofErr w:type="spellEnd"/>
      <w:r w:rsidRPr="0040543C">
        <w:rPr>
          <w:rStyle w:val="FontStyle12"/>
          <w:sz w:val="28"/>
          <w:szCs w:val="28"/>
        </w:rPr>
        <w:t xml:space="preserve"> помощи и </w:t>
      </w:r>
      <w:proofErr w:type="spellStart"/>
      <w:r w:rsidRPr="0040543C">
        <w:rPr>
          <w:rStyle w:val="FontStyle12"/>
          <w:sz w:val="28"/>
          <w:szCs w:val="28"/>
        </w:rPr>
        <w:t>по.'шержке</w:t>
      </w:r>
      <w:proofErr w:type="spellEnd"/>
      <w:r w:rsidRPr="0040543C">
        <w:rPr>
          <w:rStyle w:val="FontStyle12"/>
          <w:sz w:val="28"/>
          <w:szCs w:val="28"/>
        </w:rPr>
        <w:t>. способствовала реализация профилактических проектов:</w:t>
      </w:r>
    </w:p>
    <w:p w:rsidR="005E4F3A" w:rsidRPr="0040543C" w:rsidRDefault="005E4F3A" w:rsidP="0040543C">
      <w:pPr>
        <w:pStyle w:val="Style17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- проекта «Детский омбудсмен», направленного на внедрение в школах города института Уполномоченных по правам ребенка, в 5 «</w:t>
      </w:r>
      <w:proofErr w:type="spellStart"/>
      <w:r w:rsidRPr="0040543C">
        <w:rPr>
          <w:rStyle w:val="FontStyle12"/>
          <w:sz w:val="28"/>
          <w:szCs w:val="28"/>
        </w:rPr>
        <w:t>пилотных</w:t>
      </w:r>
      <w:proofErr w:type="spellEnd"/>
      <w:r w:rsidRPr="0040543C">
        <w:rPr>
          <w:rStyle w:val="FontStyle12"/>
          <w:sz w:val="28"/>
          <w:szCs w:val="28"/>
        </w:rPr>
        <w:t xml:space="preserve">» учреждениях - лицее, </w:t>
      </w:r>
      <w:proofErr w:type="gramStart"/>
      <w:r w:rsidRPr="0040543C">
        <w:rPr>
          <w:rStyle w:val="FontStyle12"/>
          <w:sz w:val="28"/>
          <w:szCs w:val="28"/>
        </w:rPr>
        <w:t>шкодах</w:t>
      </w:r>
      <w:proofErr w:type="gramEnd"/>
      <w:r w:rsidRPr="0040543C">
        <w:rPr>
          <w:rStyle w:val="FontStyle12"/>
          <w:sz w:val="28"/>
          <w:szCs w:val="28"/>
        </w:rPr>
        <w:t xml:space="preserve"> №№ 1. 12. 19. 26 - в 2019 г. введен данный институт:</w:t>
      </w:r>
    </w:p>
    <w:p w:rsidR="005E4F3A" w:rsidRPr="0040543C" w:rsidRDefault="005E4F3A" w:rsidP="0040543C">
      <w:pPr>
        <w:pStyle w:val="Style17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- проектов «Правовой ориентир абаканского школьника» и «Правовой ориентир абаканских родителей», направленных па повышение уровня правовой культуры участников образовательных отношений:</w:t>
      </w:r>
    </w:p>
    <w:p w:rsidR="005E4F3A" w:rsidRPr="0040543C" w:rsidRDefault="005E4F3A" w:rsidP="0040543C">
      <w:pPr>
        <w:pStyle w:val="Style17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- проекта «</w:t>
      </w:r>
      <w:proofErr w:type="gramStart"/>
      <w:r w:rsidRPr="0040543C">
        <w:rPr>
          <w:rStyle w:val="FontStyle12"/>
          <w:sz w:val="28"/>
          <w:szCs w:val="28"/>
        </w:rPr>
        <w:t xml:space="preserve">Роди </w:t>
      </w:r>
      <w:proofErr w:type="spellStart"/>
      <w:r w:rsidRPr="0040543C">
        <w:rPr>
          <w:rStyle w:val="FontStyle12"/>
          <w:sz w:val="28"/>
          <w:szCs w:val="28"/>
        </w:rPr>
        <w:t>тельский</w:t>
      </w:r>
      <w:proofErr w:type="spellEnd"/>
      <w:proofErr w:type="gramEnd"/>
      <w:r w:rsidRPr="0040543C">
        <w:rPr>
          <w:rStyle w:val="FontStyle12"/>
          <w:sz w:val="28"/>
          <w:szCs w:val="28"/>
        </w:rPr>
        <w:t xml:space="preserve"> патруль», в рамках которого проведено более 250 рейдов, в том числе совместно с субъектами профилактики.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В 2019 г. открыта юродская «Школа наставников», в которой прошли обучение 25 граждан, изъявивших готовность сопровождать подрос! ков</w:t>
      </w:r>
      <w:proofErr w:type="gramStart"/>
      <w:r w:rsidRPr="0040543C">
        <w:rPr>
          <w:rStyle w:val="FontStyle12"/>
          <w:sz w:val="28"/>
          <w:szCs w:val="28"/>
        </w:rPr>
        <w:t>.</w:t>
      </w:r>
      <w:proofErr w:type="gramEnd"/>
      <w:r w:rsidRPr="0040543C">
        <w:rPr>
          <w:rStyle w:val="FontStyle12"/>
          <w:sz w:val="28"/>
          <w:szCs w:val="28"/>
        </w:rPr>
        <w:t xml:space="preserve"> </w:t>
      </w:r>
      <w:proofErr w:type="gramStart"/>
      <w:r w:rsidRPr="0040543C">
        <w:rPr>
          <w:rStyle w:val="FontStyle12"/>
          <w:sz w:val="28"/>
          <w:szCs w:val="28"/>
        </w:rPr>
        <w:t>н</w:t>
      </w:r>
      <w:proofErr w:type="gramEnd"/>
      <w:r w:rsidRPr="0040543C">
        <w:rPr>
          <w:rStyle w:val="FontStyle12"/>
          <w:sz w:val="28"/>
          <w:szCs w:val="28"/>
        </w:rPr>
        <w:t>уждающихся в повышенном внимании и заботе.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В 23 школах Абакана действуют школьные службы медиации (примирения). Наиболее востребованными в деятельности указанных служб </w:t>
      </w:r>
      <w:proofErr w:type="gramStart"/>
      <w:r w:rsidRPr="0040543C">
        <w:rPr>
          <w:rStyle w:val="FontStyle12"/>
          <w:sz w:val="28"/>
          <w:szCs w:val="28"/>
        </w:rPr>
        <w:t>являются</w:t>
      </w:r>
      <w:proofErr w:type="gramEnd"/>
      <w:r w:rsidRPr="0040543C">
        <w:rPr>
          <w:rStyle w:val="FontStyle12"/>
          <w:sz w:val="28"/>
          <w:szCs w:val="28"/>
        </w:rPr>
        <w:t xml:space="preserve"> восстанови тельные технологий, В целях развития школьной медиации и внедрения восстановительных технологий в практику работы служб примирения в течение 2019 года было организовано проведение семинаров и курсов повышения квалификации но программе «Внедрение восстановительных технологий в деятельность образовательной организации в рамках создания службы медиации» (для руководителей, социальных педагогов, педагогов-психологов, классных руководителей) па основе сотрудничества </w:t>
      </w:r>
      <w:proofErr w:type="gramStart"/>
      <w:r w:rsidRPr="0040543C">
        <w:rPr>
          <w:rStyle w:val="FontStyle12"/>
          <w:sz w:val="28"/>
          <w:szCs w:val="28"/>
        </w:rPr>
        <w:t>с Красноярской региональной общественной организацией I (</w:t>
      </w:r>
      <w:proofErr w:type="spellStart"/>
      <w:r w:rsidRPr="0040543C">
        <w:rPr>
          <w:rStyle w:val="FontStyle12"/>
          <w:sz w:val="28"/>
          <w:szCs w:val="28"/>
        </w:rPr>
        <w:t>сигр</w:t>
      </w:r>
      <w:proofErr w:type="spellEnd"/>
      <w:r w:rsidRPr="0040543C">
        <w:rPr>
          <w:rStyle w:val="FontStyle12"/>
          <w:sz w:val="28"/>
          <w:szCs w:val="28"/>
        </w:rPr>
        <w:t xml:space="preserve"> медиаций «Территория согласия».</w:t>
      </w:r>
      <w:proofErr w:type="gramEnd"/>
      <w:r w:rsidRPr="0040543C">
        <w:rPr>
          <w:rStyle w:val="FontStyle12"/>
          <w:sz w:val="28"/>
          <w:szCs w:val="28"/>
        </w:rPr>
        <w:t xml:space="preserve"> В данных мероприятиях приняли участие 128 чел.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С целью совершенствования работы по просвещению родителей и укреплению дна лога семьи </w:t>
      </w:r>
      <w:proofErr w:type="spellStart"/>
      <w:proofErr w:type="gramStart"/>
      <w:r w:rsidRPr="0040543C">
        <w:rPr>
          <w:rStyle w:val="FontStyle12"/>
          <w:sz w:val="28"/>
          <w:szCs w:val="28"/>
        </w:rPr>
        <w:t>п</w:t>
      </w:r>
      <w:proofErr w:type="spellEnd"/>
      <w:proofErr w:type="gramEnd"/>
      <w:r w:rsidRPr="0040543C">
        <w:rPr>
          <w:rStyle w:val="FontStyle12"/>
          <w:sz w:val="28"/>
          <w:szCs w:val="28"/>
        </w:rPr>
        <w:t xml:space="preserve"> школы в 2019 г. на базе муниципального Центра </w:t>
      </w:r>
      <w:proofErr w:type="spellStart"/>
      <w:r w:rsidRPr="0040543C">
        <w:rPr>
          <w:rStyle w:val="FontStyle12"/>
          <w:sz w:val="28"/>
          <w:szCs w:val="28"/>
        </w:rPr>
        <w:t>психолого-пелагогической</w:t>
      </w:r>
      <w:proofErr w:type="spellEnd"/>
      <w:r w:rsidRPr="0040543C">
        <w:rPr>
          <w:rStyle w:val="FontStyle12"/>
          <w:sz w:val="28"/>
          <w:szCs w:val="28"/>
        </w:rPr>
        <w:t xml:space="preserve">. </w:t>
      </w:r>
      <w:r w:rsidRPr="0040543C">
        <w:rPr>
          <w:rStyle w:val="FontStyle12"/>
          <w:sz w:val="28"/>
          <w:szCs w:val="28"/>
        </w:rPr>
        <w:lastRenderedPageBreak/>
        <w:t>медицинской и социальной помощи продолжена работа «Родительской академии», слушателями которой стали представители 57 абаканских семей.</w:t>
      </w:r>
    </w:p>
    <w:p w:rsidR="005E4F3A" w:rsidRPr="0040543C" w:rsidRDefault="005E4F3A" w:rsidP="0040543C">
      <w:pPr>
        <w:pStyle w:val="Style18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В 2020 году деятельность Администрации </w:t>
      </w:r>
      <w:proofErr w:type="gramStart"/>
      <w:r w:rsidRPr="0040543C">
        <w:rPr>
          <w:rStyle w:val="FontStyle12"/>
          <w:sz w:val="28"/>
          <w:szCs w:val="28"/>
        </w:rPr>
        <w:t>г</w:t>
      </w:r>
      <w:proofErr w:type="gramEnd"/>
      <w:r w:rsidRPr="0040543C">
        <w:rPr>
          <w:rStyle w:val="FontStyle12"/>
          <w:sz w:val="28"/>
          <w:szCs w:val="28"/>
        </w:rPr>
        <w:t>. Абакана в сфере образования будет направлена па эффективное решение задач муниципального уровня, обозначенных в федеральных проектах национального проекта «Образование», в том силе внедрение новых методов обучения и воспитания, образовательных технологий, обеспечивающих качественное освоение обучающимися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базовых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навыков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и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умений,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повышение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их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мотивации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к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обучению и</w:t>
      </w:r>
    </w:p>
    <w:p w:rsidR="005E4F3A" w:rsidRPr="0040543C" w:rsidRDefault="005E4F3A" w:rsidP="0040543C">
      <w:pPr>
        <w:pStyle w:val="Style18"/>
        <w:widowControl/>
        <w:contextualSpacing/>
        <w:jc w:val="both"/>
        <w:rPr>
          <w:rStyle w:val="FontStyle12"/>
          <w:sz w:val="28"/>
          <w:szCs w:val="28"/>
        </w:rPr>
        <w:sectPr w:rsidR="005E4F3A" w:rsidRPr="0040543C" w:rsidSect="0040543C">
          <w:pgSz w:w="11909" w:h="16834"/>
          <w:pgMar w:top="567" w:right="567" w:bottom="567" w:left="567" w:header="720" w:footer="720" w:gutter="0"/>
          <w:cols w:space="720"/>
          <w:noEndnote/>
        </w:sectPr>
      </w:pPr>
    </w:p>
    <w:p w:rsidR="005E4F3A" w:rsidRPr="0040543C" w:rsidRDefault="005E4F3A" w:rsidP="0040543C">
      <w:pPr>
        <w:pStyle w:val="Style18"/>
        <w:widowControl/>
        <w:contextualSpacing/>
        <w:jc w:val="both"/>
        <w:rPr>
          <w:rStyle w:val="FontStyle12"/>
          <w:sz w:val="28"/>
          <w:szCs w:val="28"/>
        </w:rPr>
      </w:pPr>
      <w:proofErr w:type="gramStart"/>
      <w:r w:rsidRPr="0040543C">
        <w:rPr>
          <w:rStyle w:val="FontStyle12"/>
          <w:sz w:val="28"/>
          <w:szCs w:val="28"/>
        </w:rPr>
        <w:lastRenderedPageBreak/>
        <w:t xml:space="preserve">вовлеченности в образовательный процесс, а также совершенствование методов обучения предметной области «Технология» (федеральный проект «Современная школа»), развитие системы информационно-просветительской поддержки родителей (законных представителей) (федеральный проект «Поддержка семей, имеющих детей»): создание современной </w:t>
      </w:r>
      <w:proofErr w:type="spellStart"/>
      <w:r w:rsidRPr="0040543C">
        <w:rPr>
          <w:rStyle w:val="FontStyle12"/>
          <w:sz w:val="28"/>
          <w:szCs w:val="28"/>
        </w:rPr>
        <w:t>н</w:t>
      </w:r>
      <w:proofErr w:type="spellEnd"/>
      <w:r w:rsidRPr="0040543C">
        <w:rPr>
          <w:rStyle w:val="FontStyle12"/>
          <w:sz w:val="28"/>
          <w:szCs w:val="28"/>
        </w:rPr>
        <w:t xml:space="preserve"> безопасной образовательной среды, обеспечивающей высокое качество и доступность образования (федеральный проект «I [</w:t>
      </w:r>
      <w:proofErr w:type="spellStart"/>
      <w:r w:rsidRPr="0040543C">
        <w:rPr>
          <w:rStyle w:val="FontStyle12"/>
          <w:sz w:val="28"/>
          <w:szCs w:val="28"/>
        </w:rPr>
        <w:t>пфровая</w:t>
      </w:r>
      <w:proofErr w:type="spellEnd"/>
      <w:r w:rsidRPr="0040543C">
        <w:rPr>
          <w:rStyle w:val="FontStyle12"/>
          <w:sz w:val="28"/>
          <w:szCs w:val="28"/>
        </w:rPr>
        <w:t xml:space="preserve"> образовательная среда»): обновление спектра профессиональных конкурсов с целью предоставления работникам муниципальной системы образования новых возможностей</w:t>
      </w:r>
      <w:proofErr w:type="gramEnd"/>
      <w:r w:rsidRPr="0040543C">
        <w:rPr>
          <w:rStyle w:val="FontStyle12"/>
          <w:sz w:val="28"/>
          <w:szCs w:val="28"/>
        </w:rPr>
        <w:t xml:space="preserve"> для профессионального и карьерного роста (федеральный проект «Социальные лифты для каждого»): создание условий для развития наставничества, поддержки общественных инициатив и проектов, в том числе в сфере добровольчества (волонтерства) (федеральный проект «Социальная активность») и др.</w:t>
      </w:r>
    </w:p>
    <w:p w:rsidR="005E4F3A" w:rsidRPr="0040543C" w:rsidRDefault="005E4F3A" w:rsidP="0040543C">
      <w:pPr>
        <w:pStyle w:val="Style20"/>
        <w:widowControl/>
        <w:contextualSpacing/>
        <w:jc w:val="both"/>
        <w:rPr>
          <w:rStyle w:val="FontStyle12"/>
          <w:sz w:val="28"/>
          <w:szCs w:val="28"/>
        </w:rPr>
      </w:pPr>
      <w:proofErr w:type="gramStart"/>
      <w:r w:rsidRPr="0040543C">
        <w:rPr>
          <w:rStyle w:val="FontStyle12"/>
          <w:sz w:val="28"/>
          <w:szCs w:val="28"/>
        </w:rPr>
        <w:t>Молодежная политика 15 2019 году Управлением культуры, молодежи и спорта Администрации города Абакана и подведомственным!] организациями совместно с партнерами организовано более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1600 мероприятий с детьми и молодежью.</w:t>
      </w:r>
      <w:proofErr w:type="gramEnd"/>
      <w:r w:rsidRPr="0040543C">
        <w:rPr>
          <w:rStyle w:val="FontStyle12"/>
          <w:sz w:val="28"/>
          <w:szCs w:val="28"/>
        </w:rPr>
        <w:t xml:space="preserve"> Расходы городского бюджета на проведение городских мероприятий с молодежью в 2019 году составили 2.8 млн. руб.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Одним из наиболее динамично развивающихся направлений в работе с молодежью является добровольческое движение. В 2019 г. был создан Координационный </w:t>
      </w:r>
      <w:proofErr w:type="gramStart"/>
      <w:r w:rsidRPr="0040543C">
        <w:rPr>
          <w:rStyle w:val="FontStyle12"/>
          <w:b/>
          <w:bCs/>
          <w:sz w:val="28"/>
          <w:szCs w:val="28"/>
        </w:rPr>
        <w:t>совет</w:t>
      </w:r>
      <w:proofErr w:type="gramEnd"/>
      <w:r w:rsidRPr="0040543C">
        <w:rPr>
          <w:rStyle w:val="FontStyle12"/>
          <w:b/>
          <w:bCs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 xml:space="preserve">но поддержке добровольчества (волонтерства) в городе Абакане. Начал формироваться Серебряный отряд волонтеров Абакана (СОВА), </w:t>
      </w:r>
      <w:proofErr w:type="gramStart"/>
      <w:r w:rsidRPr="0040543C">
        <w:rPr>
          <w:rStyle w:val="FontStyle12"/>
          <w:sz w:val="28"/>
          <w:szCs w:val="28"/>
        </w:rPr>
        <w:t>к</w:t>
      </w:r>
      <w:proofErr w:type="gramEnd"/>
      <w:r w:rsidRPr="0040543C">
        <w:rPr>
          <w:rStyle w:val="FontStyle12"/>
          <w:sz w:val="28"/>
          <w:szCs w:val="28"/>
        </w:rPr>
        <w:t xml:space="preserve"> копну года в его рядах насчитывалось уже около 90 волонтеров. В начале года прошел </w:t>
      </w:r>
      <w:r w:rsidRPr="0040543C">
        <w:rPr>
          <w:rStyle w:val="FontStyle12"/>
          <w:b/>
          <w:bCs/>
          <w:sz w:val="28"/>
          <w:szCs w:val="28"/>
        </w:rPr>
        <w:t xml:space="preserve">«Волонтерский </w:t>
      </w:r>
      <w:proofErr w:type="spellStart"/>
      <w:r w:rsidRPr="0040543C">
        <w:rPr>
          <w:rStyle w:val="FontStyle12"/>
          <w:sz w:val="28"/>
          <w:szCs w:val="28"/>
        </w:rPr>
        <w:t>етартап</w:t>
      </w:r>
      <w:proofErr w:type="spellEnd"/>
      <w:r w:rsidRPr="0040543C">
        <w:rPr>
          <w:rStyle w:val="FontStyle12"/>
          <w:sz w:val="28"/>
          <w:szCs w:val="28"/>
        </w:rPr>
        <w:t>»</w:t>
      </w:r>
      <w:proofErr w:type="gramStart"/>
      <w:r w:rsidRPr="0040543C">
        <w:rPr>
          <w:rStyle w:val="FontStyle12"/>
          <w:sz w:val="28"/>
          <w:szCs w:val="28"/>
        </w:rPr>
        <w:t>.</w:t>
      </w:r>
      <w:proofErr w:type="gramEnd"/>
      <w:r w:rsidRPr="0040543C">
        <w:rPr>
          <w:rStyle w:val="FontStyle12"/>
          <w:sz w:val="28"/>
          <w:szCs w:val="28"/>
        </w:rPr>
        <w:t xml:space="preserve"> </w:t>
      </w:r>
      <w:proofErr w:type="gramStart"/>
      <w:r w:rsidRPr="0040543C">
        <w:rPr>
          <w:rStyle w:val="FontStyle12"/>
          <w:sz w:val="28"/>
          <w:szCs w:val="28"/>
        </w:rPr>
        <w:t>г</w:t>
      </w:r>
      <w:proofErr w:type="gramEnd"/>
      <w:r w:rsidRPr="0040543C">
        <w:rPr>
          <w:rStyle w:val="FontStyle12"/>
          <w:sz w:val="28"/>
          <w:szCs w:val="28"/>
        </w:rPr>
        <w:t xml:space="preserve">де были представлены городские добровольческие акции </w:t>
      </w:r>
      <w:proofErr w:type="spellStart"/>
      <w:r w:rsidRPr="0040543C">
        <w:rPr>
          <w:rStyle w:val="FontStyle12"/>
          <w:sz w:val="28"/>
          <w:szCs w:val="28"/>
        </w:rPr>
        <w:t>н</w:t>
      </w:r>
      <w:proofErr w:type="spellEnd"/>
      <w:r w:rsidRPr="0040543C">
        <w:rPr>
          <w:rStyle w:val="FontStyle12"/>
          <w:sz w:val="28"/>
          <w:szCs w:val="28"/>
        </w:rPr>
        <w:t xml:space="preserve"> проекты, осуществлена проработка идей для новых проектов. Участие приняли 100 </w:t>
      </w:r>
      <w:r w:rsidRPr="0040543C">
        <w:rPr>
          <w:rStyle w:val="FontStyle12"/>
          <w:b/>
          <w:bCs/>
          <w:sz w:val="28"/>
          <w:szCs w:val="28"/>
        </w:rPr>
        <w:t xml:space="preserve">волонтеров, </w:t>
      </w:r>
      <w:r w:rsidRPr="0040543C">
        <w:rPr>
          <w:rStyle w:val="FontStyle12"/>
          <w:sz w:val="28"/>
          <w:szCs w:val="28"/>
        </w:rPr>
        <w:t>представляющих 12 объединений.</w:t>
      </w:r>
    </w:p>
    <w:p w:rsidR="005E4F3A" w:rsidRPr="0040543C" w:rsidRDefault="005E4F3A" w:rsidP="0040543C">
      <w:pPr>
        <w:pStyle w:val="Style10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В течение 2019 г. проведена большая работа по обучению волонтеров. В рамках образовательного проекта «Я - волонтер!» волонтерами-наставниками проведены </w:t>
      </w:r>
      <w:proofErr w:type="gramStart"/>
      <w:r w:rsidRPr="0040543C">
        <w:rPr>
          <w:rStyle w:val="FontStyle12"/>
          <w:sz w:val="28"/>
          <w:szCs w:val="28"/>
        </w:rPr>
        <w:t>тренинги</w:t>
      </w:r>
      <w:proofErr w:type="gramEnd"/>
      <w:r w:rsidRPr="0040543C">
        <w:rPr>
          <w:rStyle w:val="FontStyle12"/>
          <w:sz w:val="28"/>
          <w:szCs w:val="28"/>
        </w:rPr>
        <w:t xml:space="preserve"> но методике </w:t>
      </w:r>
      <w:proofErr w:type="spellStart"/>
      <w:r w:rsidRPr="0040543C">
        <w:rPr>
          <w:rStyle w:val="FontStyle12"/>
          <w:sz w:val="28"/>
          <w:szCs w:val="28"/>
        </w:rPr>
        <w:t>квнз-игр</w:t>
      </w:r>
      <w:proofErr w:type="spellEnd"/>
      <w:r w:rsidRPr="0040543C">
        <w:rPr>
          <w:rStyle w:val="FontStyle12"/>
          <w:sz w:val="28"/>
          <w:szCs w:val="28"/>
        </w:rPr>
        <w:t xml:space="preserve"> для студентов 1-2 курсов (225 чел.). Для начинающих волонтеров на базе Дома волонтеров Абакана была организована «Школа </w:t>
      </w:r>
      <w:proofErr w:type="spellStart"/>
      <w:r w:rsidRPr="0040543C">
        <w:rPr>
          <w:rStyle w:val="FontStyle12"/>
          <w:sz w:val="28"/>
          <w:szCs w:val="28"/>
        </w:rPr>
        <w:t>волон</w:t>
      </w:r>
      <w:proofErr w:type="spellEnd"/>
      <w:r w:rsidRPr="0040543C">
        <w:rPr>
          <w:rStyle w:val="FontStyle12"/>
          <w:sz w:val="28"/>
          <w:szCs w:val="28"/>
        </w:rPr>
        <w:t xml:space="preserve"> </w:t>
      </w:r>
      <w:proofErr w:type="spellStart"/>
      <w:r w:rsidRPr="0040543C">
        <w:rPr>
          <w:rStyle w:val="FontStyle12"/>
          <w:sz w:val="28"/>
          <w:szCs w:val="28"/>
        </w:rPr>
        <w:t>терства</w:t>
      </w:r>
      <w:proofErr w:type="spellEnd"/>
      <w:r w:rsidRPr="0040543C">
        <w:rPr>
          <w:rStyle w:val="FontStyle12"/>
          <w:sz w:val="28"/>
          <w:szCs w:val="28"/>
        </w:rPr>
        <w:t>»</w:t>
      </w:r>
      <w:proofErr w:type="gramStart"/>
      <w:r w:rsidRPr="0040543C">
        <w:rPr>
          <w:rStyle w:val="FontStyle12"/>
          <w:sz w:val="28"/>
          <w:szCs w:val="28"/>
        </w:rPr>
        <w:t>.</w:t>
      </w:r>
      <w:proofErr w:type="gramEnd"/>
      <w:r w:rsidRPr="0040543C">
        <w:rPr>
          <w:rStyle w:val="FontStyle12"/>
          <w:sz w:val="28"/>
          <w:szCs w:val="28"/>
        </w:rPr>
        <w:t xml:space="preserve"> </w:t>
      </w:r>
      <w:proofErr w:type="gramStart"/>
      <w:r w:rsidRPr="0040543C">
        <w:rPr>
          <w:rStyle w:val="FontStyle12"/>
          <w:sz w:val="28"/>
          <w:szCs w:val="28"/>
        </w:rPr>
        <w:t>п</w:t>
      </w:r>
      <w:proofErr w:type="gramEnd"/>
      <w:r w:rsidRPr="0040543C">
        <w:rPr>
          <w:rStyle w:val="FontStyle12"/>
          <w:sz w:val="28"/>
          <w:szCs w:val="28"/>
        </w:rPr>
        <w:t xml:space="preserve">роведены практические тренинги, встречи, кино показ «Волонтеры будущего». Для волонтеров отряда «СОВА» организован городской семинар «Основы волонтерства» и тренинг-курс «Активный </w:t>
      </w:r>
      <w:proofErr w:type="spellStart"/>
      <w:proofErr w:type="gramStart"/>
      <w:r w:rsidRPr="0040543C">
        <w:rPr>
          <w:rStyle w:val="FontStyle12"/>
          <w:sz w:val="28"/>
          <w:szCs w:val="28"/>
        </w:rPr>
        <w:t>волон</w:t>
      </w:r>
      <w:proofErr w:type="spellEnd"/>
      <w:r w:rsidRPr="0040543C">
        <w:rPr>
          <w:rStyle w:val="FontStyle12"/>
          <w:sz w:val="28"/>
          <w:szCs w:val="28"/>
        </w:rPr>
        <w:t xml:space="preserve"> тер</w:t>
      </w:r>
      <w:proofErr w:type="gramEnd"/>
      <w:r w:rsidRPr="0040543C">
        <w:rPr>
          <w:rStyle w:val="FontStyle12"/>
          <w:sz w:val="28"/>
          <w:szCs w:val="28"/>
        </w:rPr>
        <w:t xml:space="preserve">», практические занятия по созданию </w:t>
      </w:r>
      <w:proofErr w:type="spellStart"/>
      <w:r w:rsidRPr="0040543C">
        <w:rPr>
          <w:rStyle w:val="FontStyle12"/>
          <w:sz w:val="28"/>
          <w:szCs w:val="28"/>
        </w:rPr>
        <w:t>аккаунтов</w:t>
      </w:r>
      <w:proofErr w:type="spellEnd"/>
      <w:r w:rsidRPr="0040543C">
        <w:rPr>
          <w:rStyle w:val="FontStyle12"/>
          <w:sz w:val="28"/>
          <w:szCs w:val="28"/>
        </w:rPr>
        <w:t xml:space="preserve"> в социальных сетях Интернет. Опыт Абакана по развитию серебряного волонтерства был представлен на республиканском семинаре-практикуме, организованном отделом молодежи и Советом ветеранов РХ. Серебряные волонтеры приняли участие во Всероссийском проекте «Волонтеры наследия» (</w:t>
      </w:r>
      <w:proofErr w:type="gramStart"/>
      <w:r w:rsidRPr="0040543C">
        <w:rPr>
          <w:rStyle w:val="FontStyle12"/>
          <w:sz w:val="28"/>
          <w:szCs w:val="28"/>
        </w:rPr>
        <w:t>г</w:t>
      </w:r>
      <w:proofErr w:type="gramEnd"/>
      <w:r w:rsidRPr="0040543C">
        <w:rPr>
          <w:rStyle w:val="FontStyle12"/>
          <w:sz w:val="28"/>
          <w:szCs w:val="28"/>
        </w:rPr>
        <w:t>. Печора), во Всероссийском форуме добровольцев-наставников (г. Москва). Координаторы добровольческого движения приняли участие в работе Окружного форума добровольцев Дальневосточного. Сибирского. Уральского федеральных округов «Добро за Уралом» (</w:t>
      </w:r>
      <w:proofErr w:type="gramStart"/>
      <w:r w:rsidRPr="0040543C">
        <w:rPr>
          <w:rStyle w:val="FontStyle12"/>
          <w:sz w:val="28"/>
          <w:szCs w:val="28"/>
        </w:rPr>
        <w:t>г</w:t>
      </w:r>
      <w:proofErr w:type="gramEnd"/>
      <w:r w:rsidRPr="0040543C">
        <w:rPr>
          <w:rStyle w:val="FontStyle12"/>
          <w:sz w:val="28"/>
          <w:szCs w:val="28"/>
        </w:rPr>
        <w:t>. Новосибирск).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В работе волонтеров сформировались </w:t>
      </w:r>
      <w:r w:rsidRPr="0040543C">
        <w:rPr>
          <w:rStyle w:val="FontStyle12"/>
          <w:i/>
          <w:iCs/>
          <w:sz w:val="28"/>
          <w:szCs w:val="28"/>
        </w:rPr>
        <w:t xml:space="preserve">специализации: </w:t>
      </w:r>
      <w:r w:rsidRPr="0040543C">
        <w:rPr>
          <w:rStyle w:val="FontStyle12"/>
          <w:sz w:val="28"/>
          <w:szCs w:val="28"/>
        </w:rPr>
        <w:t>помощь в проведении культурно-массовых мероприятий, спортивных мероприятий, патриотических, профилактических и экологических акций. В прошедшем году в связи с переходом телевидения па цифровое вещание актуальной была техническая помощь волонтеров пожилым людям. Среди новых волонтерских проектов можно выделить акцию «</w:t>
      </w:r>
      <w:proofErr w:type="spellStart"/>
      <w:proofErr w:type="gramStart"/>
      <w:r w:rsidRPr="0040543C">
        <w:rPr>
          <w:rStyle w:val="FontStyle12"/>
          <w:sz w:val="28"/>
          <w:szCs w:val="28"/>
        </w:rPr>
        <w:t>Око-правила</w:t>
      </w:r>
      <w:proofErr w:type="spellEnd"/>
      <w:proofErr w:type="gramEnd"/>
      <w:r w:rsidRPr="0040543C">
        <w:rPr>
          <w:rStyle w:val="FontStyle12"/>
          <w:sz w:val="28"/>
          <w:szCs w:val="28"/>
        </w:rPr>
        <w:t xml:space="preserve"> городской среды» Фонда «Мир добра», направленную па формирование бытовой культуры горожан, освоение правил сортировки мусора и бытовых отходов. Впечатлили результаты </w:t>
      </w:r>
      <w:proofErr w:type="spellStart"/>
      <w:r w:rsidRPr="0040543C">
        <w:rPr>
          <w:rStyle w:val="FontStyle12"/>
          <w:sz w:val="28"/>
          <w:szCs w:val="28"/>
        </w:rPr>
        <w:t>эко-марафоиа</w:t>
      </w:r>
      <w:proofErr w:type="spellEnd"/>
      <w:r w:rsidRPr="0040543C">
        <w:rPr>
          <w:rStyle w:val="FontStyle12"/>
          <w:sz w:val="28"/>
          <w:szCs w:val="28"/>
        </w:rPr>
        <w:t xml:space="preserve"> «Сдай макулатуру - спаси дерево!», организованного волонтерской группой отдела молодежи Абаканского Дворца </w:t>
      </w:r>
      <w:r w:rsidRPr="0040543C">
        <w:rPr>
          <w:rStyle w:val="FontStyle12"/>
          <w:sz w:val="28"/>
          <w:szCs w:val="28"/>
        </w:rPr>
        <w:lastRenderedPageBreak/>
        <w:t xml:space="preserve">Молодежи, - собрано 1840 кг макулатуры. Отряд серебряных </w:t>
      </w:r>
      <w:proofErr w:type="spellStart"/>
      <w:proofErr w:type="gramStart"/>
      <w:r w:rsidRPr="0040543C">
        <w:rPr>
          <w:rStyle w:val="FontStyle12"/>
          <w:sz w:val="28"/>
          <w:szCs w:val="28"/>
        </w:rPr>
        <w:t>волон</w:t>
      </w:r>
      <w:proofErr w:type="spellEnd"/>
      <w:r w:rsidRPr="0040543C">
        <w:rPr>
          <w:rStyle w:val="FontStyle12"/>
          <w:sz w:val="28"/>
          <w:szCs w:val="28"/>
        </w:rPr>
        <w:t xml:space="preserve"> </w:t>
      </w:r>
      <w:proofErr w:type="spellStart"/>
      <w:r w:rsidRPr="0040543C">
        <w:rPr>
          <w:rStyle w:val="FontStyle12"/>
          <w:sz w:val="28"/>
          <w:szCs w:val="28"/>
        </w:rPr>
        <w:t>теров</w:t>
      </w:r>
      <w:proofErr w:type="spellEnd"/>
      <w:proofErr w:type="gramEnd"/>
      <w:r w:rsidRPr="0040543C">
        <w:rPr>
          <w:rStyle w:val="FontStyle12"/>
          <w:sz w:val="28"/>
          <w:szCs w:val="28"/>
        </w:rPr>
        <w:t xml:space="preserve"> Абакана в День рождения города (30 апреля) высадил рябиновую аллею в Преображенском парке.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Наиболее востребованной </w:t>
      </w:r>
      <w:r w:rsidRPr="0040543C">
        <w:rPr>
          <w:rStyle w:val="FontStyle12"/>
          <w:b/>
          <w:bCs/>
          <w:sz w:val="28"/>
          <w:szCs w:val="28"/>
        </w:rPr>
        <w:t xml:space="preserve">формой </w:t>
      </w:r>
      <w:r w:rsidRPr="0040543C">
        <w:rPr>
          <w:rStyle w:val="FontStyle12"/>
          <w:sz w:val="28"/>
          <w:szCs w:val="28"/>
        </w:rPr>
        <w:t xml:space="preserve">волонтерскою участия </w:t>
      </w:r>
      <w:r w:rsidRPr="0040543C">
        <w:rPr>
          <w:rStyle w:val="FontStyle12"/>
          <w:b/>
          <w:bCs/>
          <w:sz w:val="28"/>
          <w:szCs w:val="28"/>
        </w:rPr>
        <w:t xml:space="preserve">остается </w:t>
      </w:r>
      <w:r w:rsidRPr="0040543C">
        <w:rPr>
          <w:rStyle w:val="FontStyle12"/>
          <w:i/>
          <w:iCs/>
          <w:sz w:val="28"/>
          <w:szCs w:val="28"/>
        </w:rPr>
        <w:t xml:space="preserve">помощь людям, </w:t>
      </w:r>
      <w:proofErr w:type="gramStart"/>
      <w:r w:rsidRPr="0040543C">
        <w:rPr>
          <w:rStyle w:val="FontStyle12"/>
          <w:i/>
          <w:iCs/>
          <w:sz w:val="28"/>
          <w:szCs w:val="28"/>
        </w:rPr>
        <w:t>находящимся</w:t>
      </w:r>
      <w:proofErr w:type="gramEnd"/>
      <w:r w:rsidRPr="0040543C">
        <w:rPr>
          <w:rStyle w:val="FontStyle12"/>
          <w:i/>
          <w:iCs/>
          <w:sz w:val="28"/>
          <w:szCs w:val="28"/>
        </w:rPr>
        <w:t xml:space="preserve"> а трудной жизненной </w:t>
      </w:r>
      <w:proofErr w:type="spellStart"/>
      <w:r w:rsidRPr="0040543C">
        <w:rPr>
          <w:rStyle w:val="FontStyle12"/>
          <w:i/>
          <w:iCs/>
          <w:sz w:val="28"/>
          <w:szCs w:val="28"/>
        </w:rPr>
        <w:t>ентущцш</w:t>
      </w:r>
      <w:proofErr w:type="spellEnd"/>
      <w:r w:rsidRPr="0040543C">
        <w:rPr>
          <w:rStyle w:val="FontStyle12"/>
          <w:i/>
          <w:iCs/>
          <w:sz w:val="28"/>
          <w:szCs w:val="28"/>
        </w:rPr>
        <w:t xml:space="preserve">. </w:t>
      </w:r>
      <w:r w:rsidRPr="0040543C">
        <w:rPr>
          <w:rStyle w:val="FontStyle12"/>
          <w:sz w:val="28"/>
          <w:szCs w:val="28"/>
        </w:rPr>
        <w:t>В 2019 г. в рамках городской акции «Теплые встречи» волонтеры организовали мероприятия для детей с ограниченными возможностями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  <w:sectPr w:rsidR="005E4F3A" w:rsidRPr="0040543C" w:rsidSect="0040543C">
          <w:pgSz w:w="11909" w:h="16834"/>
          <w:pgMar w:top="567" w:right="567" w:bottom="567" w:left="567" w:header="720" w:footer="720" w:gutter="0"/>
          <w:cols w:space="720"/>
          <w:noEndnote/>
        </w:sectPr>
      </w:pP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lastRenderedPageBreak/>
        <w:t xml:space="preserve">здоровья, направленные на расширение их социальной коммуникации (экскурсии, </w:t>
      </w:r>
      <w:r w:rsidRPr="0040543C">
        <w:rPr>
          <w:rStyle w:val="FontStyle12"/>
          <w:b/>
          <w:bCs/>
          <w:sz w:val="28"/>
          <w:szCs w:val="28"/>
        </w:rPr>
        <w:t xml:space="preserve">посещение </w:t>
      </w:r>
      <w:r w:rsidRPr="0040543C">
        <w:rPr>
          <w:rStyle w:val="FontStyle12"/>
          <w:sz w:val="28"/>
          <w:szCs w:val="28"/>
        </w:rPr>
        <w:t xml:space="preserve">театральных спектаклей и других зрелищных мероприятий, игровые программы, мастер-классы, </w:t>
      </w:r>
      <w:proofErr w:type="spellStart"/>
      <w:r w:rsidRPr="0040543C">
        <w:rPr>
          <w:rStyle w:val="FontStyle12"/>
          <w:sz w:val="28"/>
          <w:szCs w:val="28"/>
        </w:rPr>
        <w:t>фотосессии</w:t>
      </w:r>
      <w:proofErr w:type="spellEnd"/>
      <w:r w:rsidRPr="0040543C">
        <w:rPr>
          <w:rStyle w:val="FontStyle12"/>
          <w:sz w:val="28"/>
          <w:szCs w:val="28"/>
        </w:rPr>
        <w:t>). Участниками акции «Теплые встречи» стали 165 детей с ограниченными возможностями здоровья, каждому ребенку волонтеры подарили символ дружбы - значок «Мы друзья!».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Самым масштабным волонтерским проектом года, как это и было па протяжении последних лет</w:t>
      </w:r>
      <w:proofErr w:type="gramStart"/>
      <w:r w:rsidRPr="0040543C">
        <w:rPr>
          <w:rStyle w:val="FontStyle12"/>
          <w:sz w:val="28"/>
          <w:szCs w:val="28"/>
        </w:rPr>
        <w:t>.</w:t>
      </w:r>
      <w:proofErr w:type="gramEnd"/>
      <w:r w:rsidRPr="0040543C">
        <w:rPr>
          <w:rStyle w:val="FontStyle12"/>
          <w:sz w:val="28"/>
          <w:szCs w:val="28"/>
        </w:rPr>
        <w:t xml:space="preserve"> </w:t>
      </w:r>
      <w:proofErr w:type="gramStart"/>
      <w:r w:rsidRPr="0040543C">
        <w:rPr>
          <w:rStyle w:val="FontStyle12"/>
          <w:sz w:val="28"/>
          <w:szCs w:val="28"/>
        </w:rPr>
        <w:t>с</w:t>
      </w:r>
      <w:proofErr w:type="gramEnd"/>
      <w:r w:rsidRPr="0040543C">
        <w:rPr>
          <w:rStyle w:val="FontStyle12"/>
          <w:sz w:val="28"/>
          <w:szCs w:val="28"/>
        </w:rPr>
        <w:t xml:space="preserve">тала </w:t>
      </w:r>
      <w:r w:rsidRPr="0040543C">
        <w:rPr>
          <w:rStyle w:val="FontStyle12"/>
          <w:i/>
          <w:iCs/>
          <w:sz w:val="28"/>
          <w:szCs w:val="28"/>
        </w:rPr>
        <w:t xml:space="preserve">городская акция «Добрый </w:t>
      </w:r>
      <w:proofErr w:type="spellStart"/>
      <w:r w:rsidRPr="0040543C">
        <w:rPr>
          <w:rStyle w:val="FontStyle12"/>
          <w:i/>
          <w:iCs/>
          <w:sz w:val="28"/>
          <w:szCs w:val="28"/>
        </w:rPr>
        <w:t>Оскабрь</w:t>
      </w:r>
      <w:proofErr w:type="spellEnd"/>
      <w:r w:rsidRPr="0040543C">
        <w:rPr>
          <w:rStyle w:val="FontStyle12"/>
          <w:i/>
          <w:iCs/>
          <w:sz w:val="28"/>
          <w:szCs w:val="28"/>
        </w:rPr>
        <w:t xml:space="preserve"> - 2019», </w:t>
      </w:r>
      <w:r w:rsidRPr="0040543C">
        <w:rPr>
          <w:rStyle w:val="FontStyle12"/>
          <w:sz w:val="28"/>
          <w:szCs w:val="28"/>
        </w:rPr>
        <w:t xml:space="preserve">которая проводится но традиции в рамках Новогодней акции добра. Благотворительный марафон </w:t>
      </w:r>
      <w:proofErr w:type="gramStart"/>
      <w:r w:rsidRPr="0040543C">
        <w:rPr>
          <w:rStyle w:val="FontStyle12"/>
          <w:sz w:val="28"/>
          <w:szCs w:val="28"/>
        </w:rPr>
        <w:t>позволил</w:t>
      </w:r>
      <w:proofErr w:type="gramEnd"/>
      <w:r w:rsidRPr="0040543C">
        <w:rPr>
          <w:rStyle w:val="FontStyle12"/>
          <w:sz w:val="28"/>
          <w:szCs w:val="28"/>
        </w:rPr>
        <w:t xml:space="preserve"> собран. 4200 сладких подарков для детей, находящихся в трудной жизненной ситуации. Впервые благодаря поддержке ФГБУ «</w:t>
      </w:r>
      <w:proofErr w:type="spellStart"/>
      <w:r w:rsidRPr="0040543C">
        <w:rPr>
          <w:rStyle w:val="FontStyle12"/>
          <w:sz w:val="28"/>
          <w:szCs w:val="28"/>
        </w:rPr>
        <w:t>Государствениый</w:t>
      </w:r>
      <w:proofErr w:type="spellEnd"/>
      <w:r w:rsidRPr="0040543C">
        <w:rPr>
          <w:rStyle w:val="FontStyle12"/>
          <w:sz w:val="28"/>
          <w:szCs w:val="28"/>
        </w:rPr>
        <w:t xml:space="preserve"> природный заповедник «Хакасский» была организована акция «</w:t>
      </w:r>
      <w:proofErr w:type="spellStart"/>
      <w:r w:rsidRPr="0040543C">
        <w:rPr>
          <w:rStyle w:val="FontStyle12"/>
          <w:sz w:val="28"/>
          <w:szCs w:val="28"/>
        </w:rPr>
        <w:t>ДоброЁлка</w:t>
      </w:r>
      <w:proofErr w:type="spellEnd"/>
      <w:r w:rsidRPr="0040543C">
        <w:rPr>
          <w:rStyle w:val="FontStyle12"/>
          <w:sz w:val="28"/>
          <w:szCs w:val="28"/>
        </w:rPr>
        <w:t xml:space="preserve">»: семьи, находящиеся в трудной жизненной ситуации, дети с ограниченными возможностями здоровья получили ели в подарок. Волонтерскими группами был организован также «Добрый праздник» - новогодние поздравления получили 950 чел. Для создания доброй атмосферы волонтеры провели </w:t>
      </w:r>
      <w:proofErr w:type="spellStart"/>
      <w:r w:rsidRPr="0040543C">
        <w:rPr>
          <w:rStyle w:val="FontStyle12"/>
          <w:sz w:val="28"/>
          <w:szCs w:val="28"/>
        </w:rPr>
        <w:t>интерактивы</w:t>
      </w:r>
      <w:proofErr w:type="spellEnd"/>
      <w:r w:rsidRPr="0040543C">
        <w:rPr>
          <w:rStyle w:val="FontStyle12"/>
          <w:sz w:val="28"/>
          <w:szCs w:val="28"/>
        </w:rPr>
        <w:t xml:space="preserve"> на улицах города - «Новогодний мандарин» </w:t>
      </w:r>
      <w:proofErr w:type="spellStart"/>
      <w:r w:rsidRPr="0040543C">
        <w:rPr>
          <w:rStyle w:val="FontStyle12"/>
          <w:sz w:val="28"/>
          <w:szCs w:val="28"/>
        </w:rPr>
        <w:t>н</w:t>
      </w:r>
      <w:proofErr w:type="spellEnd"/>
      <w:r w:rsidRPr="0040543C">
        <w:rPr>
          <w:rStyle w:val="FontStyle12"/>
          <w:sz w:val="28"/>
          <w:szCs w:val="28"/>
        </w:rPr>
        <w:t xml:space="preserve"> «Табуретка Деда Мороза». Для детей с ограниченными возможностями здоровья проведены мастер-классы в образовательных учреждениях, вручение подарков тем</w:t>
      </w:r>
      <w:proofErr w:type="gramStart"/>
      <w:r w:rsidRPr="0040543C">
        <w:rPr>
          <w:rStyle w:val="FontStyle12"/>
          <w:sz w:val="28"/>
          <w:szCs w:val="28"/>
        </w:rPr>
        <w:t>.</w:t>
      </w:r>
      <w:proofErr w:type="gramEnd"/>
      <w:r w:rsidRPr="0040543C">
        <w:rPr>
          <w:rStyle w:val="FontStyle12"/>
          <w:sz w:val="28"/>
          <w:szCs w:val="28"/>
        </w:rPr>
        <w:t xml:space="preserve"> </w:t>
      </w:r>
      <w:proofErr w:type="gramStart"/>
      <w:r w:rsidRPr="0040543C">
        <w:rPr>
          <w:rStyle w:val="FontStyle12"/>
          <w:sz w:val="28"/>
          <w:szCs w:val="28"/>
        </w:rPr>
        <w:t>к</w:t>
      </w:r>
      <w:proofErr w:type="gramEnd"/>
      <w:r w:rsidRPr="0040543C">
        <w:rPr>
          <w:rStyle w:val="FontStyle12"/>
          <w:sz w:val="28"/>
          <w:szCs w:val="28"/>
        </w:rPr>
        <w:t xml:space="preserve">то обучается дома. Для детей, находящихся на лечении в детской клинической больнице, были проведены новогодние утренники. Волонтерский «Новогодний троллейбус» в этом год) </w:t>
      </w:r>
      <w:proofErr w:type="gramStart"/>
      <w:r w:rsidRPr="0040543C">
        <w:rPr>
          <w:rStyle w:val="FontStyle12"/>
          <w:sz w:val="28"/>
          <w:szCs w:val="28"/>
        </w:rPr>
        <w:t>курсировал</w:t>
      </w:r>
      <w:proofErr w:type="gramEnd"/>
      <w:r w:rsidRPr="0040543C">
        <w:rPr>
          <w:rStyle w:val="FontStyle12"/>
          <w:sz w:val="28"/>
          <w:szCs w:val="28"/>
        </w:rPr>
        <w:t xml:space="preserve"> но 4 маршрутам в 'течение 4-х дней.</w:t>
      </w:r>
    </w:p>
    <w:p w:rsidR="005E4F3A" w:rsidRPr="0040543C" w:rsidRDefault="005E4F3A" w:rsidP="0040543C">
      <w:pPr>
        <w:pStyle w:val="Style10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Волонтерские проекты находят поддержку в рамках </w:t>
      </w:r>
      <w:proofErr w:type="spellStart"/>
      <w:r w:rsidRPr="0040543C">
        <w:rPr>
          <w:rStyle w:val="FontStyle12"/>
          <w:sz w:val="28"/>
          <w:szCs w:val="28"/>
        </w:rPr>
        <w:t>I'ородского</w:t>
      </w:r>
      <w:proofErr w:type="spellEnd"/>
      <w:r w:rsidRPr="0040543C">
        <w:rPr>
          <w:rStyle w:val="FontStyle12"/>
          <w:sz w:val="28"/>
          <w:szCs w:val="28"/>
        </w:rPr>
        <w:t xml:space="preserve"> конкурса проектов «Молодежная инициатива», который ежегодно </w:t>
      </w:r>
      <w:proofErr w:type="gramStart"/>
      <w:r w:rsidRPr="0040543C">
        <w:rPr>
          <w:rStyle w:val="FontStyle12"/>
          <w:sz w:val="28"/>
          <w:szCs w:val="28"/>
        </w:rPr>
        <w:t xml:space="preserve">проводи </w:t>
      </w:r>
      <w:proofErr w:type="spellStart"/>
      <w:r w:rsidRPr="0040543C">
        <w:rPr>
          <w:rStyle w:val="FontStyle12"/>
          <w:sz w:val="28"/>
          <w:szCs w:val="28"/>
        </w:rPr>
        <w:t>тся</w:t>
      </w:r>
      <w:proofErr w:type="spellEnd"/>
      <w:proofErr w:type="gramEnd"/>
      <w:r w:rsidRP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b/>
          <w:bCs/>
          <w:sz w:val="28"/>
          <w:szCs w:val="28"/>
        </w:rPr>
        <w:t xml:space="preserve">Управлением </w:t>
      </w:r>
      <w:r w:rsidRPr="0040543C">
        <w:rPr>
          <w:rStyle w:val="FontStyle12"/>
          <w:sz w:val="28"/>
          <w:szCs w:val="28"/>
        </w:rPr>
        <w:t xml:space="preserve">культуры, молодежи и спорта Администрации города Абакана. </w:t>
      </w:r>
      <w:proofErr w:type="gramStart"/>
      <w:r w:rsidRPr="0040543C">
        <w:rPr>
          <w:rStyle w:val="FontStyle12"/>
          <w:sz w:val="28"/>
          <w:szCs w:val="28"/>
        </w:rPr>
        <w:t>В 2019 г. было рассмотрено 34 заявки. 7 заявок признаны победителями, выделены средства на реализацию 5 проектов, из них два направлен].] па развитие волонтерских практик: проект «Театральная терапия или лечение с увлечением» волонтерской группы «От сердца к сердцу» и проект «Куре Волонтера» Городского студенческого совет.</w:t>
      </w:r>
      <w:proofErr w:type="gramEnd"/>
    </w:p>
    <w:p w:rsidR="005E4F3A" w:rsidRPr="0040543C" w:rsidRDefault="005E4F3A" w:rsidP="0040543C">
      <w:pPr>
        <w:pStyle w:val="Style10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Организация мероприятий, ориентированных на творческую самореализацию молодежи </w:t>
      </w:r>
      <w:proofErr w:type="gramStart"/>
      <w:r w:rsidRPr="0040543C">
        <w:rPr>
          <w:rStyle w:val="FontStyle12"/>
          <w:sz w:val="28"/>
          <w:szCs w:val="28"/>
        </w:rPr>
        <w:t>-э</w:t>
      </w:r>
      <w:proofErr w:type="gramEnd"/>
      <w:r w:rsidRPr="0040543C">
        <w:rPr>
          <w:rStyle w:val="FontStyle12"/>
          <w:sz w:val="28"/>
          <w:szCs w:val="28"/>
        </w:rPr>
        <w:t xml:space="preserve">то еще одно направление в работе с молодежью в городе, которое отличается динамичностью, многообразием форм, глубокой заинтересованностью самих участников - они позволяют не только раскрыть творческие способности и поддержать таланты, но и организовать </w:t>
      </w:r>
      <w:proofErr w:type="spellStart"/>
      <w:r w:rsidRPr="0040543C">
        <w:rPr>
          <w:rStyle w:val="FontStyle12"/>
          <w:sz w:val="28"/>
          <w:szCs w:val="28"/>
        </w:rPr>
        <w:t>досуговую</w:t>
      </w:r>
      <w:proofErr w:type="spellEnd"/>
      <w:r w:rsidRPr="0040543C">
        <w:rPr>
          <w:rStyle w:val="FontStyle12"/>
          <w:sz w:val="28"/>
          <w:szCs w:val="28"/>
        </w:rPr>
        <w:t xml:space="preserve"> занятость молодежи. Значительная часть мероприятий в этом направлении в Абакане реализуется в рамках городского проекта «Молодежь фестивальная», направленного па реализацию и развитие творческого потенциала абаканской молодежи.</w:t>
      </w:r>
    </w:p>
    <w:p w:rsidR="005E4F3A" w:rsidRPr="0040543C" w:rsidRDefault="005E4F3A" w:rsidP="0040543C">
      <w:pPr>
        <w:pStyle w:val="Style10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В работе с творческой молодежью в городе сложились многолетние традиции проведения различных фестивалей, конкурсов и мероприятий. Одна из них связана с </w:t>
      </w:r>
      <w:r w:rsidRPr="0040543C">
        <w:rPr>
          <w:rStyle w:val="FontStyle12"/>
          <w:i/>
          <w:iCs/>
          <w:sz w:val="28"/>
          <w:szCs w:val="28"/>
        </w:rPr>
        <w:t xml:space="preserve">движением КВН - </w:t>
      </w:r>
      <w:r w:rsidRPr="0040543C">
        <w:rPr>
          <w:rStyle w:val="FontStyle12"/>
          <w:sz w:val="28"/>
          <w:szCs w:val="28"/>
        </w:rPr>
        <w:t>в 2019 году проведено 8 игр</w:t>
      </w:r>
      <w:proofErr w:type="gramStart"/>
      <w:r w:rsidRPr="0040543C">
        <w:rPr>
          <w:rStyle w:val="FontStyle12"/>
          <w:sz w:val="28"/>
          <w:szCs w:val="28"/>
        </w:rPr>
        <w:t>.</w:t>
      </w:r>
      <w:proofErr w:type="gramEnd"/>
      <w:r w:rsidRPr="0040543C">
        <w:rPr>
          <w:rStyle w:val="FontStyle12"/>
          <w:sz w:val="28"/>
          <w:szCs w:val="28"/>
        </w:rPr>
        <w:t xml:space="preserve"> </w:t>
      </w:r>
      <w:proofErr w:type="gramStart"/>
      <w:r w:rsidRPr="0040543C">
        <w:rPr>
          <w:rStyle w:val="FontStyle12"/>
          <w:sz w:val="28"/>
          <w:szCs w:val="28"/>
        </w:rPr>
        <w:t>у</w:t>
      </w:r>
      <w:proofErr w:type="gramEnd"/>
      <w:r w:rsidRPr="0040543C">
        <w:rPr>
          <w:rStyle w:val="FontStyle12"/>
          <w:sz w:val="28"/>
          <w:szCs w:val="28"/>
        </w:rPr>
        <w:t xml:space="preserve">частвовали 22 команды, более 3 тыс. зрителей. Абаканский КВН стал межрегиональной творческой площадкой для школьных команд - в играх юниорской лиги 2019 г. участвовали команды из Республики Хакасия. Красноярского края. Кемеровской области. Тывы. Чемпионом 2019 г, в юниорской лиге стала команда «ПЕРВАЯ». </w:t>
      </w:r>
      <w:r w:rsidRPr="0040543C">
        <w:rPr>
          <w:rStyle w:val="FontStyle12"/>
          <w:i/>
          <w:iCs/>
          <w:sz w:val="28"/>
          <w:szCs w:val="28"/>
        </w:rPr>
        <w:t xml:space="preserve">Впервые за всю историю Абаканской лиги КВН эта </w:t>
      </w:r>
      <w:proofErr w:type="spellStart"/>
      <w:r w:rsidRPr="0040543C">
        <w:rPr>
          <w:rStyle w:val="FontStyle12"/>
          <w:i/>
          <w:iCs/>
          <w:sz w:val="28"/>
          <w:szCs w:val="28"/>
        </w:rPr>
        <w:t>коман</w:t>
      </w:r>
      <w:proofErr w:type="spellEnd"/>
      <w:r w:rsidRPr="0040543C">
        <w:rPr>
          <w:rStyle w:val="FontStyle12"/>
          <w:i/>
          <w:iCs/>
          <w:sz w:val="28"/>
          <w:szCs w:val="28"/>
        </w:rPr>
        <w:t>()а смогла выйти в финал лиги КВН «(</w:t>
      </w:r>
      <w:proofErr w:type="spellStart"/>
      <w:r w:rsidRPr="0040543C">
        <w:rPr>
          <w:rStyle w:val="FontStyle12"/>
          <w:i/>
          <w:iCs/>
          <w:sz w:val="28"/>
          <w:szCs w:val="28"/>
        </w:rPr>
        <w:t>Атщрь</w:t>
      </w:r>
      <w:proofErr w:type="spellEnd"/>
      <w:r w:rsidRPr="0040543C">
        <w:rPr>
          <w:rStyle w:val="FontStyle12"/>
          <w:i/>
          <w:iCs/>
          <w:sz w:val="28"/>
          <w:szCs w:val="28"/>
        </w:rPr>
        <w:t xml:space="preserve"> молодая» (г</w:t>
      </w:r>
      <w:proofErr w:type="gramStart"/>
      <w:r w:rsidRPr="0040543C">
        <w:rPr>
          <w:rStyle w:val="FontStyle12"/>
          <w:i/>
          <w:iCs/>
          <w:sz w:val="28"/>
          <w:szCs w:val="28"/>
        </w:rPr>
        <w:t>.К</w:t>
      </w:r>
      <w:proofErr w:type="gramEnd"/>
      <w:r w:rsidRPr="0040543C">
        <w:rPr>
          <w:rStyle w:val="FontStyle12"/>
          <w:i/>
          <w:iCs/>
          <w:sz w:val="28"/>
          <w:szCs w:val="28"/>
        </w:rPr>
        <w:t xml:space="preserve">расноярск). </w:t>
      </w:r>
      <w:r w:rsidRPr="0040543C">
        <w:rPr>
          <w:rStyle w:val="FontStyle12"/>
          <w:sz w:val="28"/>
          <w:szCs w:val="28"/>
        </w:rPr>
        <w:t xml:space="preserve">«11.ЕРВАЛ» также приняла участие в Международном фестивале школьных команд КВ11 в г.Анапа, в играх % финала Всероссийской </w:t>
      </w:r>
      <w:proofErr w:type="spellStart"/>
      <w:r w:rsidRPr="0040543C">
        <w:rPr>
          <w:rStyle w:val="FontStyle12"/>
          <w:sz w:val="28"/>
          <w:szCs w:val="28"/>
        </w:rPr>
        <w:t>юниор-лиги</w:t>
      </w:r>
      <w:proofErr w:type="spellEnd"/>
      <w:r w:rsidRPr="0040543C">
        <w:rPr>
          <w:rStyle w:val="FontStyle12"/>
          <w:sz w:val="28"/>
          <w:szCs w:val="28"/>
        </w:rPr>
        <w:t xml:space="preserve"> КВН в Москве, получив бесценный опыт профессионального общения. 11о </w:t>
      </w:r>
      <w:r w:rsidRPr="0040543C">
        <w:rPr>
          <w:rStyle w:val="FontStyle12"/>
          <w:b/>
          <w:bCs/>
          <w:sz w:val="28"/>
          <w:szCs w:val="28"/>
        </w:rPr>
        <w:t xml:space="preserve">итогам </w:t>
      </w:r>
      <w:r w:rsidRPr="0040543C">
        <w:rPr>
          <w:rStyle w:val="FontStyle12"/>
          <w:sz w:val="28"/>
          <w:szCs w:val="28"/>
        </w:rPr>
        <w:t>лих мероприятий «ПЕРВАЯ» провела «Школу КВН» для своих сверстников из школьных команд города.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lastRenderedPageBreak/>
        <w:t xml:space="preserve">В 2019 году свое </w:t>
      </w:r>
      <w:r w:rsidRPr="0040543C">
        <w:rPr>
          <w:rStyle w:val="FontStyle12"/>
          <w:i/>
          <w:iCs/>
          <w:sz w:val="28"/>
          <w:szCs w:val="28"/>
        </w:rPr>
        <w:t xml:space="preserve">15-летие отметил городской фестиваль «Молодость плюс...» </w:t>
      </w:r>
      <w:r w:rsidRPr="0040543C">
        <w:rPr>
          <w:rStyle w:val="FontStyle12"/>
          <w:sz w:val="28"/>
          <w:szCs w:val="28"/>
        </w:rPr>
        <w:t xml:space="preserve">Это фестивальное движение работающей молодежи является самым массовым молодежным фестивальным движением в городе. Участие в юбилейном фестивале приняли 22 делегации предприятий и организаций нашего юрода. Впервые в рамках фестиваля проведена игра КВН </w:t>
      </w:r>
      <w:proofErr w:type="gramStart"/>
      <w:r w:rsidRPr="0040543C">
        <w:rPr>
          <w:rStyle w:val="FontStyle12"/>
          <w:sz w:val="28"/>
          <w:szCs w:val="28"/>
        </w:rPr>
        <w:t>-п</w:t>
      </w:r>
      <w:proofErr w:type="gramEnd"/>
      <w:r w:rsidRPr="0040543C">
        <w:rPr>
          <w:rStyle w:val="FontStyle12"/>
          <w:sz w:val="28"/>
          <w:szCs w:val="28"/>
        </w:rPr>
        <w:t>обедителем в этом жанре творчества стала команда Филиала НЛО «МРСК Сибири» -«</w:t>
      </w:r>
      <w:proofErr w:type="spellStart"/>
      <w:r w:rsidRPr="0040543C">
        <w:rPr>
          <w:rStyle w:val="FontStyle12"/>
          <w:sz w:val="28"/>
          <w:szCs w:val="28"/>
        </w:rPr>
        <w:t>Хакасэперю</w:t>
      </w:r>
      <w:proofErr w:type="spellEnd"/>
      <w:r w:rsidRPr="0040543C">
        <w:rPr>
          <w:rStyle w:val="FontStyle12"/>
          <w:sz w:val="28"/>
          <w:szCs w:val="28"/>
        </w:rPr>
        <w:t xml:space="preserve">». </w:t>
      </w:r>
      <w:proofErr w:type="spellStart"/>
      <w:r w:rsidRPr="0040543C">
        <w:rPr>
          <w:rStyle w:val="FontStyle12"/>
          <w:b/>
          <w:bCs/>
          <w:sz w:val="28"/>
          <w:szCs w:val="28"/>
        </w:rPr>
        <w:t>Гран</w:t>
      </w:r>
      <w:r w:rsidRPr="0040543C">
        <w:rPr>
          <w:rStyle w:val="FontStyle12"/>
          <w:sz w:val="28"/>
          <w:szCs w:val="28"/>
        </w:rPr>
        <w:t>-При</w:t>
      </w:r>
      <w:proofErr w:type="spellEnd"/>
      <w:r w:rsidRPr="0040543C">
        <w:rPr>
          <w:rStyle w:val="FontStyle12"/>
          <w:sz w:val="28"/>
          <w:szCs w:val="28"/>
        </w:rPr>
        <w:t xml:space="preserve"> и переходящий Кубок Фестиваля достался победителю - сборной команде педагогов города «Педсовет».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  <w:sectPr w:rsidR="005E4F3A" w:rsidRPr="0040543C" w:rsidSect="0040543C">
          <w:pgSz w:w="11909" w:h="16834"/>
          <w:pgMar w:top="567" w:right="567" w:bottom="567" w:left="567" w:header="720" w:footer="720" w:gutter="0"/>
          <w:cols w:space="720"/>
          <w:noEndnote/>
        </w:sectPr>
      </w:pP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lastRenderedPageBreak/>
        <w:t xml:space="preserve">Свои творческие таланты абаканская молодежь успешно представила па Республиканском фестивале </w:t>
      </w:r>
      <w:proofErr w:type="spellStart"/>
      <w:r w:rsidRPr="0040543C">
        <w:rPr>
          <w:rStyle w:val="FontStyle12"/>
          <w:sz w:val="28"/>
          <w:szCs w:val="28"/>
        </w:rPr>
        <w:t>творчес</w:t>
      </w:r>
      <w:proofErr w:type="spellEnd"/>
      <w:r w:rsidRPr="0040543C">
        <w:rPr>
          <w:rStyle w:val="FontStyle12"/>
          <w:sz w:val="28"/>
          <w:szCs w:val="28"/>
        </w:rPr>
        <w:t xml:space="preserve"> </w:t>
      </w:r>
      <w:proofErr w:type="spellStart"/>
      <w:r w:rsidRPr="0040543C">
        <w:rPr>
          <w:rStyle w:val="FontStyle12"/>
          <w:sz w:val="28"/>
          <w:szCs w:val="28"/>
        </w:rPr>
        <w:t>тва</w:t>
      </w:r>
      <w:proofErr w:type="spellEnd"/>
      <w:r w:rsidRPr="0040543C">
        <w:rPr>
          <w:rStyle w:val="FontStyle12"/>
          <w:sz w:val="28"/>
          <w:szCs w:val="28"/>
        </w:rPr>
        <w:t xml:space="preserve"> молодежи «Весна в Хакасии» - г</w:t>
      </w:r>
      <w:proofErr w:type="gramStart"/>
      <w:r w:rsidRPr="0040543C">
        <w:rPr>
          <w:rStyle w:val="FontStyle12"/>
          <w:sz w:val="28"/>
          <w:szCs w:val="28"/>
        </w:rPr>
        <w:t>.А</w:t>
      </w:r>
      <w:proofErr w:type="gramEnd"/>
      <w:r w:rsidRPr="0040543C">
        <w:rPr>
          <w:rStyle w:val="FontStyle12"/>
          <w:sz w:val="28"/>
          <w:szCs w:val="28"/>
        </w:rPr>
        <w:t>бакам замял 1 место среди городских округов.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proofErr w:type="gramStart"/>
      <w:r w:rsidRPr="0040543C">
        <w:rPr>
          <w:rStyle w:val="FontStyle12"/>
          <w:sz w:val="28"/>
          <w:szCs w:val="28"/>
        </w:rPr>
        <w:t>Особом</w:t>
      </w:r>
      <w:proofErr w:type="gramEnd"/>
      <w:r w:rsidRPr="0040543C">
        <w:rPr>
          <w:rStyle w:val="FontStyle12"/>
          <w:sz w:val="28"/>
          <w:szCs w:val="28"/>
        </w:rPr>
        <w:t xml:space="preserve"> поддержки требует социально-экономическая активность молодежи. </w:t>
      </w:r>
      <w:proofErr w:type="gramStart"/>
      <w:r w:rsidRPr="0040543C">
        <w:rPr>
          <w:rStyle w:val="FontStyle12"/>
          <w:sz w:val="28"/>
          <w:szCs w:val="28"/>
        </w:rPr>
        <w:t xml:space="preserve">Среди мероприятий этом направленности можно выделить </w:t>
      </w:r>
      <w:r w:rsidRPr="0040543C">
        <w:rPr>
          <w:rStyle w:val="FontStyle12"/>
          <w:i/>
          <w:iCs/>
          <w:sz w:val="28"/>
          <w:szCs w:val="28"/>
        </w:rPr>
        <w:t xml:space="preserve">городской конкурс «Формую успеха» </w:t>
      </w:r>
      <w:r w:rsidRPr="0040543C">
        <w:rPr>
          <w:rStyle w:val="FontStyle12"/>
          <w:sz w:val="28"/>
          <w:szCs w:val="28"/>
        </w:rPr>
        <w:t xml:space="preserve">и </w:t>
      </w:r>
      <w:r w:rsidRPr="0040543C">
        <w:rPr>
          <w:rStyle w:val="FontStyle12"/>
          <w:i/>
          <w:iCs/>
          <w:sz w:val="28"/>
          <w:szCs w:val="28"/>
        </w:rPr>
        <w:t xml:space="preserve">вручение именной стипендии Главы города Абакана, </w:t>
      </w:r>
      <w:r w:rsidRPr="0040543C">
        <w:rPr>
          <w:rStyle w:val="FontStyle12"/>
          <w:sz w:val="28"/>
          <w:szCs w:val="28"/>
        </w:rPr>
        <w:t>которые проводятся с целью содействия профессиональному становлению студентов образовательных организаций высшего образования и профессиональных образовательных организаций.</w:t>
      </w:r>
      <w:proofErr w:type="gramEnd"/>
      <w:r w:rsidRPr="0040543C">
        <w:rPr>
          <w:rStyle w:val="FontStyle12"/>
          <w:sz w:val="28"/>
          <w:szCs w:val="28"/>
        </w:rPr>
        <w:t xml:space="preserve"> Восемь лучших студентов-выпускников, ставших финалистами конкурса «Формула успеха» в 2019 году, получили приглашения на собеседования от работодателей. Впервые победителями конкурса стали трос выпускников: Семериков А., выпускник </w:t>
      </w:r>
      <w:proofErr w:type="gramStart"/>
      <w:r w:rsidRPr="0040543C">
        <w:rPr>
          <w:rStyle w:val="FontStyle12"/>
          <w:sz w:val="28"/>
          <w:szCs w:val="28"/>
        </w:rPr>
        <w:t>ИТ</w:t>
      </w:r>
      <w:proofErr w:type="gramEnd"/>
      <w:r w:rsidRPr="0040543C">
        <w:rPr>
          <w:rStyle w:val="FontStyle12"/>
          <w:sz w:val="28"/>
          <w:szCs w:val="28"/>
        </w:rPr>
        <w:t xml:space="preserve">! 1 XI"У им. 11.Ф. </w:t>
      </w:r>
      <w:proofErr w:type="spellStart"/>
      <w:r w:rsidRPr="0040543C">
        <w:rPr>
          <w:rStyle w:val="FontStyle12"/>
          <w:sz w:val="28"/>
          <w:szCs w:val="28"/>
        </w:rPr>
        <w:t>Катамова</w:t>
      </w:r>
      <w:proofErr w:type="spellEnd"/>
      <w:r w:rsidRPr="0040543C">
        <w:rPr>
          <w:rStyle w:val="FontStyle12"/>
          <w:sz w:val="28"/>
          <w:szCs w:val="28"/>
        </w:rPr>
        <w:t>: 1 [</w:t>
      </w:r>
      <w:proofErr w:type="spellStart"/>
      <w:r w:rsidRPr="0040543C">
        <w:rPr>
          <w:rStyle w:val="FontStyle12"/>
          <w:sz w:val="28"/>
          <w:szCs w:val="28"/>
        </w:rPr>
        <w:t>цкнтппа</w:t>
      </w:r>
      <w:proofErr w:type="spellEnd"/>
      <w:r w:rsidRPr="0040543C">
        <w:rPr>
          <w:rStyle w:val="FontStyle12"/>
          <w:sz w:val="28"/>
          <w:szCs w:val="28"/>
        </w:rPr>
        <w:t xml:space="preserve"> Т.. выпускница </w:t>
      </w:r>
      <w:proofErr w:type="spellStart"/>
      <w:r w:rsidRPr="0040543C">
        <w:rPr>
          <w:rStyle w:val="FontStyle12"/>
          <w:sz w:val="28"/>
          <w:szCs w:val="28"/>
        </w:rPr>
        <w:t>ИФиМК</w:t>
      </w:r>
      <w:proofErr w:type="spellEnd"/>
      <w:r w:rsidRPr="0040543C">
        <w:rPr>
          <w:rStyle w:val="FontStyle12"/>
          <w:sz w:val="28"/>
          <w:szCs w:val="28"/>
        </w:rPr>
        <w:t xml:space="preserve"> ХГУ им. II. Ф. </w:t>
      </w:r>
      <w:proofErr w:type="spellStart"/>
      <w:r w:rsidRPr="0040543C">
        <w:rPr>
          <w:rStyle w:val="FontStyle12"/>
          <w:sz w:val="28"/>
          <w:szCs w:val="28"/>
        </w:rPr>
        <w:t>Катамова</w:t>
      </w:r>
      <w:proofErr w:type="spellEnd"/>
      <w:r w:rsidRPr="0040543C">
        <w:rPr>
          <w:rStyle w:val="FontStyle12"/>
          <w:sz w:val="28"/>
          <w:szCs w:val="28"/>
        </w:rPr>
        <w:t xml:space="preserve">: Ми </w:t>
      </w:r>
      <w:r w:rsidRPr="0040543C">
        <w:rPr>
          <w:rStyle w:val="FontStyle12"/>
          <w:b/>
          <w:bCs/>
          <w:sz w:val="28"/>
          <w:szCs w:val="28"/>
        </w:rPr>
        <w:t xml:space="preserve">Крюкова </w:t>
      </w:r>
      <w:r w:rsidRPr="0040543C">
        <w:rPr>
          <w:rStyle w:val="FontStyle12"/>
          <w:sz w:val="28"/>
          <w:szCs w:val="28"/>
        </w:rPr>
        <w:t>Д., выпускница ХТИ филиала СФУ. Стипендия Главы города Абакана вручена 12 студентам.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На поддержку социально-экономической активности молодых людей направлена и Премия Главы города Абакана работающей молодежи, которая в 2019 г. вручена 10 лучшим представителям молодежи, добившимся успехов в профессиональной деятельности, среди них </w:t>
      </w:r>
      <w:proofErr w:type="gramStart"/>
      <w:r w:rsidRPr="0040543C">
        <w:rPr>
          <w:rStyle w:val="FontStyle12"/>
          <w:sz w:val="28"/>
          <w:szCs w:val="28"/>
        </w:rPr>
        <w:t>-р</w:t>
      </w:r>
      <w:proofErr w:type="gramEnd"/>
      <w:r w:rsidRPr="0040543C">
        <w:rPr>
          <w:rStyle w:val="FontStyle12"/>
          <w:sz w:val="28"/>
          <w:szCs w:val="28"/>
        </w:rPr>
        <w:t xml:space="preserve">аботники транспорта. </w:t>
      </w:r>
      <w:proofErr w:type="spellStart"/>
      <w:r w:rsidRPr="0040543C">
        <w:rPr>
          <w:rStyle w:val="FontStyle12"/>
          <w:sz w:val="28"/>
          <w:szCs w:val="28"/>
        </w:rPr>
        <w:t>электросетевого</w:t>
      </w:r>
      <w:proofErr w:type="spellEnd"/>
      <w:r w:rsidRPr="0040543C">
        <w:rPr>
          <w:rStyle w:val="FontStyle12"/>
          <w:sz w:val="28"/>
          <w:szCs w:val="28"/>
        </w:rPr>
        <w:t xml:space="preserve"> хозяйства. правоохранительных органов, </w:t>
      </w:r>
      <w:proofErr w:type="spellStart"/>
      <w:r w:rsidRPr="0040543C">
        <w:rPr>
          <w:rStyle w:val="FontStyle12"/>
          <w:sz w:val="28"/>
          <w:szCs w:val="28"/>
        </w:rPr>
        <w:t>здравоохранения.образования</w:t>
      </w:r>
      <w:proofErr w:type="spellEnd"/>
      <w:r w:rsidRPr="0040543C">
        <w:rPr>
          <w:rStyle w:val="FontStyle12"/>
          <w:sz w:val="28"/>
          <w:szCs w:val="28"/>
        </w:rPr>
        <w:t>, культуры.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proofErr w:type="gramStart"/>
      <w:r w:rsidRPr="0040543C">
        <w:rPr>
          <w:rStyle w:val="FontStyle12"/>
          <w:sz w:val="28"/>
          <w:szCs w:val="28"/>
        </w:rPr>
        <w:t>Мероприятия</w:t>
      </w:r>
      <w:proofErr w:type="gramEnd"/>
      <w:r w:rsidRPr="0040543C">
        <w:rPr>
          <w:rStyle w:val="FontStyle12"/>
          <w:sz w:val="28"/>
          <w:szCs w:val="28"/>
        </w:rPr>
        <w:t xml:space="preserve"> но патриотическому воспитанию молодежи направлены на формирование гражданственности и патриотических ценностей, многие из этих мероприятий стали городскими традициями. Молодежь приняла активное участие во всероссийских проектах: шествии «Бессмертного полка», акции «Георгиевская ленточка», акции «Свеча памяти». Расширился состав участников городских акций: «Надень пилотку деда!» (1500 чел.). «Мы против войны и 'террора!» (300 чел.). Состоялась традиционная ежегодная встреча молодежи допризывного возраста с представителями войсковой части №01662. Военного комиссариата Республики Хакасия но г</w:t>
      </w:r>
      <w:proofErr w:type="gramStart"/>
      <w:r w:rsidRPr="0040543C">
        <w:rPr>
          <w:rStyle w:val="FontStyle12"/>
          <w:sz w:val="28"/>
          <w:szCs w:val="28"/>
        </w:rPr>
        <w:t>.А</w:t>
      </w:r>
      <w:proofErr w:type="gramEnd"/>
      <w:r w:rsidRPr="0040543C">
        <w:rPr>
          <w:rStyle w:val="FontStyle12"/>
          <w:sz w:val="28"/>
          <w:szCs w:val="28"/>
        </w:rPr>
        <w:t xml:space="preserve">бакану. В рамках проекта «Вместе!» привечены </w:t>
      </w:r>
      <w:proofErr w:type="spellStart"/>
      <w:r w:rsidRPr="0040543C">
        <w:rPr>
          <w:rStyle w:val="FontStyle12"/>
          <w:sz w:val="28"/>
          <w:szCs w:val="28"/>
        </w:rPr>
        <w:t>мнформациомно-нроеветнтельские</w:t>
      </w:r>
      <w:proofErr w:type="spellEnd"/>
      <w:r w:rsidRPr="0040543C">
        <w:rPr>
          <w:rStyle w:val="FontStyle12"/>
          <w:sz w:val="28"/>
          <w:szCs w:val="28"/>
        </w:rPr>
        <w:t xml:space="preserve"> мероприятия, направленные на укрепление </w:t>
      </w:r>
      <w:proofErr w:type="spellStart"/>
      <w:r w:rsidRPr="0040543C">
        <w:rPr>
          <w:rStyle w:val="FontStyle12"/>
          <w:sz w:val="28"/>
          <w:szCs w:val="28"/>
        </w:rPr>
        <w:t>межнаци</w:t>
      </w:r>
      <w:proofErr w:type="spellEnd"/>
      <w:r w:rsidRPr="0040543C">
        <w:rPr>
          <w:rStyle w:val="FontStyle12"/>
          <w:sz w:val="28"/>
          <w:szCs w:val="28"/>
        </w:rPr>
        <w:t xml:space="preserve"> опального </w:t>
      </w:r>
      <w:proofErr w:type="spellStart"/>
      <w:proofErr w:type="gramStart"/>
      <w:r w:rsidRPr="0040543C">
        <w:rPr>
          <w:rStyle w:val="FontStyle12"/>
          <w:sz w:val="28"/>
          <w:szCs w:val="28"/>
        </w:rPr>
        <w:t>п</w:t>
      </w:r>
      <w:proofErr w:type="spellEnd"/>
      <w:proofErr w:type="gramEnd"/>
      <w:r w:rsidRPr="0040543C">
        <w:rPr>
          <w:rStyle w:val="FontStyle12"/>
          <w:sz w:val="28"/>
          <w:szCs w:val="28"/>
        </w:rPr>
        <w:t xml:space="preserve"> межконфессионального согласия, профилактику и противодействие идеологии терроризма и экстремизма - размещены тематические </w:t>
      </w:r>
      <w:proofErr w:type="spellStart"/>
      <w:r w:rsidRPr="0040543C">
        <w:rPr>
          <w:rStyle w:val="FontStyle12"/>
          <w:sz w:val="28"/>
          <w:szCs w:val="28"/>
        </w:rPr>
        <w:t>плейкасты</w:t>
      </w:r>
      <w:proofErr w:type="spellEnd"/>
      <w:r w:rsidRPr="0040543C">
        <w:rPr>
          <w:rStyle w:val="FontStyle12"/>
          <w:sz w:val="28"/>
          <w:szCs w:val="28"/>
        </w:rPr>
        <w:t xml:space="preserve"> (1500 просмотров) и видеоролики (около 4000 просмотров) в сети Интернет.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Важным направлением в сфере реализации молодежной политики являются мероприятия, направленные на популяризацию ценностей семьи и ответственного </w:t>
      </w:r>
      <w:proofErr w:type="spellStart"/>
      <w:r w:rsidRPr="0040543C">
        <w:rPr>
          <w:rStyle w:val="FontStyle12"/>
          <w:sz w:val="28"/>
          <w:szCs w:val="28"/>
        </w:rPr>
        <w:t>родительства</w:t>
      </w:r>
      <w:proofErr w:type="spellEnd"/>
      <w:r w:rsidRPr="0040543C">
        <w:rPr>
          <w:rStyle w:val="FontStyle12"/>
          <w:sz w:val="28"/>
          <w:szCs w:val="28"/>
        </w:rPr>
        <w:t xml:space="preserve"> - с этой целью в городе реализуется проект «Родительской собрание». В 2019 юлу в рамках проекта особое внимание было уделено информационным мероприятиям, популяризирующим семейное счастье и благополучие. В </w:t>
      </w:r>
      <w:proofErr w:type="spellStart"/>
      <w:r w:rsidRPr="0040543C">
        <w:rPr>
          <w:rStyle w:val="FontStyle12"/>
          <w:sz w:val="28"/>
          <w:szCs w:val="28"/>
        </w:rPr>
        <w:t>ПКиО</w:t>
      </w:r>
      <w:proofErr w:type="spellEnd"/>
      <w:r w:rsidRPr="0040543C">
        <w:rPr>
          <w:rStyle w:val="FontStyle12"/>
          <w:sz w:val="28"/>
          <w:szCs w:val="28"/>
        </w:rPr>
        <w:t xml:space="preserve"> в летний период были размещены баннеры</w:t>
      </w:r>
      <w:proofErr w:type="gramStart"/>
      <w:r w:rsidRPr="0040543C">
        <w:rPr>
          <w:rStyle w:val="FontStyle12"/>
          <w:sz w:val="28"/>
          <w:szCs w:val="28"/>
        </w:rPr>
        <w:t>.</w:t>
      </w:r>
      <w:proofErr w:type="gramEnd"/>
      <w:r w:rsidRPr="0040543C">
        <w:rPr>
          <w:rStyle w:val="FontStyle12"/>
          <w:sz w:val="28"/>
          <w:szCs w:val="28"/>
        </w:rPr>
        <w:t xml:space="preserve"> </w:t>
      </w:r>
      <w:proofErr w:type="gramStart"/>
      <w:r w:rsidRPr="0040543C">
        <w:rPr>
          <w:rStyle w:val="FontStyle12"/>
          <w:sz w:val="28"/>
          <w:szCs w:val="28"/>
        </w:rPr>
        <w:t>п</w:t>
      </w:r>
      <w:proofErr w:type="gramEnd"/>
      <w:r w:rsidRPr="0040543C">
        <w:rPr>
          <w:rStyle w:val="FontStyle12"/>
          <w:sz w:val="28"/>
          <w:szCs w:val="28"/>
        </w:rPr>
        <w:t xml:space="preserve">освященные здоровому образу жизни семьи, тематические плакаты размещены в социальных сетях </w:t>
      </w:r>
      <w:proofErr w:type="spellStart"/>
      <w:r w:rsidRPr="0040543C">
        <w:rPr>
          <w:rStyle w:val="FontStyle12"/>
          <w:sz w:val="28"/>
          <w:szCs w:val="28"/>
        </w:rPr>
        <w:t>Интернеч</w:t>
      </w:r>
      <w:proofErr w:type="spellEnd"/>
      <w:r w:rsidRPr="0040543C">
        <w:rPr>
          <w:rStyle w:val="FontStyle12"/>
          <w:sz w:val="28"/>
          <w:szCs w:val="28"/>
        </w:rPr>
        <w:t xml:space="preserve">'. Созданы клипы на тему ответственного отцовства: «Папа, не уходи!»: «Есть лучшие папы на свете»: «Панина улыбка»: музыкальный клип «Счастливые семьи Абакана» (47 910 просмотров в сети Интернет). Одним из самых трогательных мероприятий является чествование семей с новорожденными детьми, </w:t>
      </w:r>
      <w:proofErr w:type="gramStart"/>
      <w:r w:rsidRPr="0040543C">
        <w:rPr>
          <w:rStyle w:val="FontStyle12"/>
          <w:sz w:val="28"/>
          <w:szCs w:val="28"/>
        </w:rPr>
        <w:t>которое</w:t>
      </w:r>
      <w:proofErr w:type="gramEnd"/>
      <w:r w:rsidRPr="0040543C">
        <w:rPr>
          <w:rStyle w:val="FontStyle12"/>
          <w:sz w:val="28"/>
          <w:szCs w:val="28"/>
        </w:rPr>
        <w:t xml:space="preserve"> но сложившейся традиции проходит дважды в год в рамках городских акций: «Первый новорожденный наступившего года» и «</w:t>
      </w:r>
      <w:proofErr w:type="gramStart"/>
      <w:r w:rsidRPr="0040543C">
        <w:rPr>
          <w:rStyle w:val="FontStyle12"/>
          <w:sz w:val="28"/>
          <w:szCs w:val="28"/>
        </w:rPr>
        <w:t>Рожденные</w:t>
      </w:r>
      <w:proofErr w:type="gramEnd"/>
      <w:r w:rsidRPr="0040543C">
        <w:rPr>
          <w:rStyle w:val="FontStyle12"/>
          <w:sz w:val="28"/>
          <w:szCs w:val="28"/>
        </w:rPr>
        <w:t xml:space="preserve"> вдень юрода». В 2019 году поздравления и подарки получили 5 семей.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Специалистами по молодежной политике Администрации г. Абакана отмечен как положительный и успешный омыт коллег из г. </w:t>
      </w:r>
      <w:proofErr w:type="gramStart"/>
      <w:r w:rsidRPr="0040543C">
        <w:rPr>
          <w:rStyle w:val="FontStyle12"/>
          <w:sz w:val="28"/>
          <w:szCs w:val="28"/>
        </w:rPr>
        <w:t>Красноярска</w:t>
      </w:r>
      <w:proofErr w:type="gramEnd"/>
      <w:r w:rsidRPr="0040543C">
        <w:rPr>
          <w:rStyle w:val="FontStyle12"/>
          <w:sz w:val="28"/>
          <w:szCs w:val="28"/>
        </w:rPr>
        <w:t xml:space="preserve"> но развитию технологий наставничества в практике работы по профилактике детского и семейного неблагополучия.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proofErr w:type="gramStart"/>
      <w:r w:rsidRPr="0040543C">
        <w:rPr>
          <w:rStyle w:val="FontStyle12"/>
          <w:sz w:val="28"/>
          <w:szCs w:val="28"/>
        </w:rPr>
        <w:lastRenderedPageBreak/>
        <w:t>В 2020 году предстоит продолжить работу по мобилизации молодежной инициативы, развитию молодежного волонтер]</w:t>
      </w:r>
      <w:proofErr w:type="spellStart"/>
      <w:r w:rsidRPr="0040543C">
        <w:rPr>
          <w:rStyle w:val="FontStyle12"/>
          <w:b/>
          <w:bCs/>
          <w:sz w:val="28"/>
          <w:szCs w:val="28"/>
        </w:rPr>
        <w:t>I</w:t>
      </w:r>
      <w:r w:rsidRPr="0040543C">
        <w:rPr>
          <w:rStyle w:val="FontStyle12"/>
          <w:sz w:val="28"/>
          <w:szCs w:val="28"/>
        </w:rPr>
        <w:t>ига</w:t>
      </w:r>
      <w:proofErr w:type="spellEnd"/>
      <w:r w:rsidRPr="0040543C">
        <w:rPr>
          <w:rStyle w:val="FontStyle12"/>
          <w:sz w:val="28"/>
          <w:szCs w:val="28"/>
        </w:rPr>
        <w:t>. молодежного наставничества.</w:t>
      </w:r>
      <w:proofErr w:type="gramEnd"/>
      <w:r w:rsidRPr="0040543C">
        <w:rPr>
          <w:rStyle w:val="FontStyle12"/>
          <w:sz w:val="28"/>
          <w:szCs w:val="28"/>
        </w:rPr>
        <w:t xml:space="preserve"> Предстоит осваивать новые подходы в работе в связи с осуществлен нем стратегическою планирования развития работы с молодежью в г</w:t>
      </w:r>
      <w:proofErr w:type="gramStart"/>
      <w:r w:rsidRPr="0040543C">
        <w:rPr>
          <w:rStyle w:val="FontStyle12"/>
          <w:sz w:val="28"/>
          <w:szCs w:val="28"/>
        </w:rPr>
        <w:t>.А</w:t>
      </w:r>
      <w:proofErr w:type="gramEnd"/>
      <w:r w:rsidRPr="0040543C">
        <w:rPr>
          <w:rStyle w:val="FontStyle12"/>
          <w:sz w:val="28"/>
          <w:szCs w:val="28"/>
        </w:rPr>
        <w:t>бакане па 2021-2030 годы. Особенно важной социально значимой задачей в 2020 году будет организация общественного участия в мероприятиях Года памяти и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  <w:sectPr w:rsidR="005E4F3A" w:rsidRPr="0040543C" w:rsidSect="0040543C">
          <w:pgSz w:w="11909" w:h="16834"/>
          <w:pgMar w:top="567" w:right="567" w:bottom="567" w:left="567" w:header="720" w:footer="720" w:gutter="0"/>
          <w:cols w:space="720"/>
          <w:noEndnote/>
        </w:sectPr>
      </w:pP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lastRenderedPageBreak/>
        <w:t xml:space="preserve">сланы, </w:t>
      </w:r>
      <w:proofErr w:type="gramStart"/>
      <w:r w:rsidRPr="0040543C">
        <w:rPr>
          <w:rStyle w:val="FontStyle12"/>
          <w:sz w:val="28"/>
          <w:szCs w:val="28"/>
        </w:rPr>
        <w:t>праздновании</w:t>
      </w:r>
      <w:proofErr w:type="gramEnd"/>
      <w:r w:rsidRPr="0040543C">
        <w:rPr>
          <w:rStyle w:val="FontStyle12"/>
          <w:sz w:val="28"/>
          <w:szCs w:val="28"/>
        </w:rPr>
        <w:t xml:space="preserve"> 75-й годовщины Победы в Великой Отечественной войне 1941-1945 голов в городе Абакане.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Предлагаем в качестве актуального вопроса для обсуждения на мероприятиях АСДГ по обмену опытом рассмотрение лучших практик наставничества. Эта тема предлагается для включения в образовательную программу курсов повышения квалификации (учебных курсов для муниципальных служащих) специалистов в области молодежной политики.</w:t>
      </w:r>
    </w:p>
    <w:p w:rsidR="005E4F3A" w:rsidRPr="0040543C" w:rsidRDefault="005E4F3A" w:rsidP="0040543C">
      <w:pPr>
        <w:pStyle w:val="Style1"/>
        <w:widowControl/>
        <w:contextualSpacing/>
        <w:jc w:val="both"/>
        <w:rPr>
          <w:rStyle w:val="FontStyle12"/>
          <w:b/>
          <w:bCs/>
          <w:sz w:val="28"/>
          <w:szCs w:val="28"/>
        </w:rPr>
      </w:pPr>
      <w:r w:rsidRPr="0040543C">
        <w:rPr>
          <w:rStyle w:val="FontStyle12"/>
          <w:b/>
          <w:bCs/>
          <w:sz w:val="28"/>
          <w:szCs w:val="28"/>
        </w:rPr>
        <w:t>Физическая культура и спорт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В 2019 г. в г. Абакане продолжена планомерная работа но созданию условий для развития физической культуры и спорта, способствующих укреплению здоровья, формированию здорового образа жизни у населения, реализации жизненных планов горожан, связанных с физической культурой </w:t>
      </w:r>
      <w:proofErr w:type="spellStart"/>
      <w:proofErr w:type="gramStart"/>
      <w:r w:rsidRPr="0040543C">
        <w:rPr>
          <w:rStyle w:val="FontStyle12"/>
          <w:sz w:val="28"/>
          <w:szCs w:val="28"/>
        </w:rPr>
        <w:t>п</w:t>
      </w:r>
      <w:proofErr w:type="spellEnd"/>
      <w:proofErr w:type="gramEnd"/>
      <w:r w:rsidRPr="0040543C">
        <w:rPr>
          <w:rStyle w:val="FontStyle12"/>
          <w:sz w:val="28"/>
          <w:szCs w:val="28"/>
        </w:rPr>
        <w:t xml:space="preserve"> спортом, формированию спортивного резерва для спортивных сборных команд Республики Хакасия. РОССИЙСКОЙ Федерации</w:t>
      </w:r>
      <w:proofErr w:type="gramStart"/>
      <w:r w:rsidRPr="0040543C">
        <w:rPr>
          <w:rStyle w:val="FontStyle12"/>
          <w:sz w:val="28"/>
          <w:szCs w:val="28"/>
        </w:rPr>
        <w:t xml:space="preserve"> И</w:t>
      </w:r>
      <w:proofErr w:type="gramEnd"/>
      <w:r w:rsidRPr="0040543C">
        <w:rPr>
          <w:rStyle w:val="FontStyle12"/>
          <w:sz w:val="28"/>
          <w:szCs w:val="28"/>
        </w:rPr>
        <w:t xml:space="preserve"> достижения абаканскими спортсменами высоких спортивных результатов па соревнованиях разного уровня. На выполнение данных задач в 2019 г. было направлено 454,1 млн. руб. с учетом всех источников финансирования.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Эффективность работы по реализации поставленных задач в 2019 году </w:t>
      </w:r>
      <w:proofErr w:type="gramStart"/>
      <w:r w:rsidRPr="0040543C">
        <w:rPr>
          <w:rStyle w:val="FontStyle12"/>
          <w:sz w:val="28"/>
          <w:szCs w:val="28"/>
        </w:rPr>
        <w:t>подтверждается</w:t>
      </w:r>
      <w:proofErr w:type="gramEnd"/>
      <w:r w:rsidRPr="0040543C">
        <w:rPr>
          <w:rStyle w:val="FontStyle12"/>
          <w:sz w:val="28"/>
          <w:szCs w:val="28"/>
        </w:rPr>
        <w:t xml:space="preserve"> положи тельной динамикой основных показа </w:t>
      </w:r>
      <w:proofErr w:type="spellStart"/>
      <w:r w:rsidRPr="0040543C">
        <w:rPr>
          <w:rStyle w:val="FontStyle12"/>
          <w:sz w:val="28"/>
          <w:szCs w:val="28"/>
        </w:rPr>
        <w:t>телей</w:t>
      </w:r>
      <w:proofErr w:type="spellEnd"/>
      <w:r w:rsidRPr="0040543C">
        <w:rPr>
          <w:rStyle w:val="FontStyle12"/>
          <w:sz w:val="28"/>
          <w:szCs w:val="28"/>
        </w:rPr>
        <w:t>.</w:t>
      </w:r>
    </w:p>
    <w:p w:rsidR="005E4F3A" w:rsidRPr="0040543C" w:rsidRDefault="005E4F3A" w:rsidP="0040543C">
      <w:pPr>
        <w:pStyle w:val="Style12"/>
        <w:widowControl/>
        <w:contextualSpacing/>
        <w:jc w:val="both"/>
        <w:rPr>
          <w:rStyle w:val="FontStyle12"/>
          <w:i/>
          <w:iCs/>
          <w:sz w:val="28"/>
          <w:szCs w:val="28"/>
        </w:rPr>
      </w:pPr>
      <w:r w:rsidRPr="0040543C">
        <w:rPr>
          <w:rStyle w:val="FontStyle12"/>
          <w:i/>
          <w:iCs/>
          <w:sz w:val="28"/>
          <w:szCs w:val="28"/>
        </w:rPr>
        <w:t xml:space="preserve">Показатели эффективности деятельности по развитию в </w:t>
      </w:r>
      <w:proofErr w:type="gramStart"/>
      <w:r w:rsidRPr="0040543C">
        <w:rPr>
          <w:rStyle w:val="FontStyle12"/>
          <w:i/>
          <w:iCs/>
          <w:sz w:val="28"/>
          <w:szCs w:val="28"/>
        </w:rPr>
        <w:t>г</w:t>
      </w:r>
      <w:proofErr w:type="gramEnd"/>
      <w:r w:rsidRPr="0040543C">
        <w:rPr>
          <w:rStyle w:val="FontStyle12"/>
          <w:i/>
          <w:iCs/>
          <w:sz w:val="28"/>
          <w:szCs w:val="28"/>
        </w:rPr>
        <w:t>. Абакане физической культуры и</w:t>
      </w:r>
    </w:p>
    <w:p w:rsidR="005E4F3A" w:rsidRPr="0040543C" w:rsidRDefault="005E4F3A" w:rsidP="0040543C">
      <w:pPr>
        <w:pStyle w:val="Style16"/>
        <w:widowControl/>
        <w:contextualSpacing/>
        <w:jc w:val="both"/>
        <w:rPr>
          <w:rStyle w:val="FontStyle12"/>
          <w:i/>
          <w:iCs/>
          <w:sz w:val="28"/>
          <w:szCs w:val="28"/>
        </w:rPr>
      </w:pPr>
      <w:r w:rsidRPr="0040543C">
        <w:rPr>
          <w:rStyle w:val="FontStyle12"/>
          <w:i/>
          <w:iCs/>
          <w:sz w:val="28"/>
          <w:szCs w:val="28"/>
        </w:rPr>
        <w:t>массового спорта, в сравнении по годам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16"/>
        <w:gridCol w:w="698"/>
        <w:gridCol w:w="1130"/>
        <w:gridCol w:w="706"/>
        <w:gridCol w:w="1130"/>
        <w:gridCol w:w="893"/>
        <w:gridCol w:w="936"/>
      </w:tblGrid>
      <w:tr w:rsidR="005E4F3A" w:rsidRPr="0040543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7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2017 г.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2018 г.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2019|.</w:t>
            </w:r>
          </w:p>
        </w:tc>
      </w:tr>
      <w:tr w:rsidR="005E4F3A" w:rsidRPr="0040543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7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</w:p>
          <w:p w:rsidR="005E4F3A" w:rsidRPr="0040543C" w:rsidRDefault="005E4F3A" w:rsidP="0040543C">
            <w:pPr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в %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чел.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В%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чел.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в %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чел.</w:t>
            </w:r>
          </w:p>
        </w:tc>
      </w:tr>
      <w:tr w:rsidR="005E4F3A" w:rsidRPr="0040543C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 xml:space="preserve">доля населения, систематически занимающегося </w:t>
            </w:r>
            <w:proofErr w:type="spellStart"/>
            <w:r w:rsidRPr="0040543C">
              <w:rPr>
                <w:rStyle w:val="FontStyle12"/>
                <w:sz w:val="28"/>
                <w:szCs w:val="28"/>
              </w:rPr>
              <w:t>физическоП</w:t>
            </w:r>
            <w:proofErr w:type="spellEnd"/>
            <w:r w:rsidRPr="0040543C">
              <w:rPr>
                <w:rStyle w:val="FontStyle12"/>
                <w:sz w:val="28"/>
                <w:szCs w:val="28"/>
              </w:rPr>
              <w:t xml:space="preserve"> культурой и спортом. От общей численности населения города в возрасте 3-79 лет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21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59 955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37.8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64 909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42.1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73266</w:t>
            </w:r>
          </w:p>
        </w:tc>
      </w:tr>
      <w:tr w:rsidR="005E4F3A" w:rsidRPr="0040543C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доля ЛИЦ с ограниченными возможностями здоровья</w:t>
            </w:r>
            <w:proofErr w:type="gramStart"/>
            <w:r w:rsidRPr="0040543C">
              <w:rPr>
                <w:rStyle w:val="FontStyle12"/>
                <w:sz w:val="28"/>
                <w:szCs w:val="28"/>
              </w:rPr>
              <w:t>.</w:t>
            </w:r>
            <w:proofErr w:type="gramEnd"/>
            <w:r w:rsidRPr="0040543C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40543C">
              <w:rPr>
                <w:rStyle w:val="FontStyle12"/>
                <w:sz w:val="28"/>
                <w:szCs w:val="28"/>
              </w:rPr>
              <w:t>с</w:t>
            </w:r>
            <w:proofErr w:type="gramEnd"/>
            <w:r w:rsidRPr="0040543C">
              <w:rPr>
                <w:rStyle w:val="FontStyle12"/>
                <w:sz w:val="28"/>
                <w:szCs w:val="28"/>
              </w:rPr>
              <w:t>истематически занимающихся физической культурой и спортом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16.5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1288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18.1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1645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19.3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proofErr w:type="gramStart"/>
            <w:r w:rsidRPr="0040543C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40543C">
              <w:rPr>
                <w:rStyle w:val="FontStyle12"/>
                <w:sz w:val="28"/>
                <w:szCs w:val="28"/>
              </w:rPr>
              <w:t>~759~~"</w:t>
            </w:r>
          </w:p>
        </w:tc>
      </w:tr>
      <w:tr w:rsidR="005E4F3A" w:rsidRPr="0040543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количество полю тов</w:t>
            </w:r>
            <w:proofErr w:type="gramStart"/>
            <w:r w:rsidRPr="0040543C">
              <w:rPr>
                <w:rStyle w:val="FontStyle12"/>
                <w:sz w:val="28"/>
                <w:szCs w:val="28"/>
              </w:rPr>
              <w:t>.з</w:t>
            </w:r>
            <w:proofErr w:type="gramEnd"/>
            <w:r w:rsidRPr="0040543C">
              <w:rPr>
                <w:rStyle w:val="FontStyle12"/>
                <w:sz w:val="28"/>
                <w:szCs w:val="28"/>
              </w:rPr>
              <w:t>емных спортсменов-разрядников в муниципальных спортивных школах</w:t>
            </w:r>
          </w:p>
        </w:tc>
        <w:tc>
          <w:tcPr>
            <w:tcW w:w="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21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proofErr w:type="gramStart"/>
            <w:r w:rsidRPr="0040543C">
              <w:rPr>
                <w:rStyle w:val="FontStyle12"/>
                <w:sz w:val="28"/>
                <w:szCs w:val="28"/>
              </w:rPr>
              <w:t>) 645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21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1 620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21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E4F3A" w:rsidRPr="0040543C" w:rsidRDefault="005E4F3A" w:rsidP="0040543C">
            <w:pPr>
              <w:pStyle w:val="Style22"/>
              <w:widowControl/>
              <w:contextualSpacing/>
              <w:jc w:val="both"/>
              <w:rPr>
                <w:rStyle w:val="FontStyle12"/>
                <w:b/>
                <w:bCs/>
                <w:sz w:val="28"/>
                <w:szCs w:val="28"/>
              </w:rPr>
            </w:pPr>
            <w:proofErr w:type="gramStart"/>
            <w:r w:rsidRPr="0040543C">
              <w:rPr>
                <w:rStyle w:val="FontStyle12"/>
                <w:b/>
                <w:bCs/>
                <w:sz w:val="28"/>
                <w:szCs w:val="28"/>
              </w:rPr>
              <w:t>Ю</w:t>
            </w:r>
            <w:proofErr w:type="gramEnd"/>
            <w:r w:rsidRPr="0040543C">
              <w:rPr>
                <w:rStyle w:val="FontStyle12"/>
                <w:b/>
                <w:bCs/>
                <w:sz w:val="28"/>
                <w:szCs w:val="28"/>
              </w:rPr>
              <w:t xml:space="preserve"> |</w:t>
            </w:r>
          </w:p>
        </w:tc>
      </w:tr>
      <w:tr w:rsidR="005E4F3A" w:rsidRPr="004054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физической культуры и спорта</w:t>
            </w:r>
          </w:p>
        </w:tc>
        <w:tc>
          <w:tcPr>
            <w:tcW w:w="6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</w:p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31 182.47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21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34 816.87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21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36313.3</w:t>
            </w:r>
          </w:p>
        </w:tc>
      </w:tr>
    </w:tbl>
    <w:p w:rsidR="005E4F3A" w:rsidRPr="0040543C" w:rsidRDefault="005E4F3A" w:rsidP="0040543C">
      <w:pPr>
        <w:pStyle w:val="Style15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1 </w:t>
      </w:r>
      <w:proofErr w:type="spellStart"/>
      <w:r w:rsidRPr="0040543C">
        <w:rPr>
          <w:rStyle w:val="FontStyle12"/>
          <w:sz w:val="28"/>
          <w:szCs w:val="28"/>
        </w:rPr>
        <w:t>кшуляризацнп</w:t>
      </w:r>
      <w:proofErr w:type="spellEnd"/>
      <w:r w:rsidRPr="0040543C">
        <w:rPr>
          <w:rStyle w:val="FontStyle12"/>
          <w:sz w:val="28"/>
          <w:szCs w:val="28"/>
        </w:rPr>
        <w:t xml:space="preserve"> физической культуры и спорта среди различных групп населения Абакана способствовала совместная работа Комитета физической культуры и спорта. Администрации города Абакана. ГУ </w:t>
      </w:r>
      <w:proofErr w:type="gramStart"/>
      <w:r w:rsidRPr="0040543C">
        <w:rPr>
          <w:rStyle w:val="FontStyle12"/>
          <w:sz w:val="28"/>
          <w:szCs w:val="28"/>
        </w:rPr>
        <w:t>О</w:t>
      </w:r>
      <w:proofErr w:type="gramEnd"/>
      <w:r w:rsidRPr="0040543C">
        <w:rPr>
          <w:rStyle w:val="FontStyle12"/>
          <w:sz w:val="28"/>
          <w:szCs w:val="28"/>
        </w:rPr>
        <w:t xml:space="preserve"> Администрации г. Абакана, подведомственных организаций и иных субъектов физической культуры и спорта, муниципального предприятия «ИРТА «Абакан» и других информационных агентств. Городской конкурс проектов «Абакан </w:t>
      </w:r>
      <w:proofErr w:type="gramStart"/>
      <w:r w:rsidRPr="0040543C">
        <w:rPr>
          <w:rStyle w:val="FontStyle12"/>
          <w:sz w:val="28"/>
          <w:szCs w:val="28"/>
        </w:rPr>
        <w:t>-с</w:t>
      </w:r>
      <w:proofErr w:type="gramEnd"/>
      <w:r w:rsidRPr="0040543C">
        <w:rPr>
          <w:rStyle w:val="FontStyle12"/>
          <w:sz w:val="28"/>
          <w:szCs w:val="28"/>
        </w:rPr>
        <w:t xml:space="preserve">портивный город» способствовал повышению активности </w:t>
      </w:r>
      <w:proofErr w:type="spellStart"/>
      <w:r w:rsidRPr="0040543C">
        <w:rPr>
          <w:rStyle w:val="FontStyle12"/>
          <w:sz w:val="28"/>
          <w:szCs w:val="28"/>
        </w:rPr>
        <w:t>физкультурио-спортивных</w:t>
      </w:r>
      <w:proofErr w:type="spellEnd"/>
      <w:r w:rsidRPr="0040543C">
        <w:rPr>
          <w:rStyle w:val="FontStyle12"/>
          <w:sz w:val="28"/>
          <w:szCs w:val="28"/>
        </w:rPr>
        <w:t xml:space="preserve"> организаций - конкурсные механизмы поддержки общественной инициативы уже па протяжении многих лет используются в городе для реализации значимых массовых спортивных проектов. Победителями конкурса в 2019 г. </w:t>
      </w:r>
      <w:r w:rsidRPr="0040543C">
        <w:rPr>
          <w:rStyle w:val="FontStyle12"/>
          <w:sz w:val="28"/>
          <w:szCs w:val="28"/>
        </w:rPr>
        <w:lastRenderedPageBreak/>
        <w:t>стали 11 проектов, наиболее яркими из реализованных проектов стали: «Неделя семенного спорта «Папа</w:t>
      </w:r>
      <w:proofErr w:type="gramStart"/>
      <w:r w:rsidRPr="0040543C">
        <w:rPr>
          <w:rStyle w:val="FontStyle12"/>
          <w:sz w:val="28"/>
          <w:szCs w:val="28"/>
        </w:rPr>
        <w:t>.</w:t>
      </w:r>
      <w:proofErr w:type="gramEnd"/>
      <w:r w:rsidRPr="0040543C">
        <w:rPr>
          <w:rStyle w:val="FontStyle12"/>
          <w:sz w:val="28"/>
          <w:szCs w:val="28"/>
        </w:rPr>
        <w:t xml:space="preserve"> </w:t>
      </w:r>
      <w:proofErr w:type="gramStart"/>
      <w:r w:rsidRPr="0040543C">
        <w:rPr>
          <w:rStyle w:val="FontStyle12"/>
          <w:sz w:val="28"/>
          <w:szCs w:val="28"/>
        </w:rPr>
        <w:t>м</w:t>
      </w:r>
      <w:proofErr w:type="gramEnd"/>
      <w:r w:rsidRPr="0040543C">
        <w:rPr>
          <w:rStyle w:val="FontStyle12"/>
          <w:sz w:val="28"/>
          <w:szCs w:val="28"/>
        </w:rPr>
        <w:t>ама, я - спортивная семья -2019» (ДЮСШ но плаванию). «Детский лыжный марафон - Детская лыжня -2019» (Детский сад «Аленка»).</w:t>
      </w:r>
    </w:p>
    <w:p w:rsidR="005E4F3A" w:rsidRPr="0040543C" w:rsidRDefault="005E4F3A" w:rsidP="0040543C">
      <w:pPr>
        <w:pStyle w:val="Style15"/>
        <w:widowControl/>
        <w:contextualSpacing/>
        <w:jc w:val="both"/>
        <w:rPr>
          <w:rStyle w:val="FontStyle12"/>
          <w:sz w:val="28"/>
          <w:szCs w:val="28"/>
        </w:rPr>
      </w:pPr>
      <w:proofErr w:type="gramStart"/>
      <w:r w:rsidRPr="0040543C">
        <w:rPr>
          <w:rStyle w:val="FontStyle12"/>
          <w:sz w:val="28"/>
          <w:szCs w:val="28"/>
        </w:rPr>
        <w:t>Продвижение физической культуры и спорта осуществлялось с использованием разных каналов - это и проведение зрелищных массовых физкультурных, спортивных мероприятий (городской праздник «День здоровья».</w:t>
      </w:r>
      <w:proofErr w:type="gramEnd"/>
      <w:r w:rsidRPr="0040543C">
        <w:rPr>
          <w:rStyle w:val="FontStyle12"/>
          <w:sz w:val="28"/>
          <w:szCs w:val="28"/>
        </w:rPr>
        <w:t xml:space="preserve"> Кубок Главы города </w:t>
      </w:r>
      <w:proofErr w:type="gramStart"/>
      <w:r w:rsidRPr="0040543C">
        <w:rPr>
          <w:rStyle w:val="FontStyle12"/>
          <w:sz w:val="28"/>
          <w:szCs w:val="28"/>
        </w:rPr>
        <w:t>Абакана</w:t>
      </w:r>
      <w:proofErr w:type="gramEnd"/>
      <w:r w:rsidRPr="0040543C">
        <w:rPr>
          <w:rStyle w:val="FontStyle12"/>
          <w:sz w:val="28"/>
          <w:szCs w:val="28"/>
        </w:rPr>
        <w:t xml:space="preserve"> но танцевальному спорту. Всероссийские соревнования по плаванию «Кубок Сибири» на призы Главы города Абакана и </w:t>
      </w:r>
      <w:proofErr w:type="spellStart"/>
      <w:r w:rsidRPr="0040543C">
        <w:rPr>
          <w:rStyle w:val="FontStyle12"/>
          <w:sz w:val="28"/>
          <w:szCs w:val="28"/>
        </w:rPr>
        <w:t>■т.н</w:t>
      </w:r>
      <w:proofErr w:type="spellEnd"/>
      <w:r w:rsidRPr="0040543C">
        <w:rPr>
          <w:rStyle w:val="FontStyle12"/>
          <w:sz w:val="28"/>
          <w:szCs w:val="28"/>
        </w:rPr>
        <w:t>.)</w:t>
      </w:r>
      <w:proofErr w:type="gramStart"/>
      <w:r w:rsidRPr="0040543C">
        <w:rPr>
          <w:rStyle w:val="FontStyle12"/>
          <w:sz w:val="28"/>
          <w:szCs w:val="28"/>
        </w:rPr>
        <w:t>.</w:t>
      </w:r>
      <w:proofErr w:type="gramEnd"/>
      <w:r w:rsidRPr="0040543C">
        <w:rPr>
          <w:rStyle w:val="FontStyle12"/>
          <w:sz w:val="28"/>
          <w:szCs w:val="28"/>
        </w:rPr>
        <w:t xml:space="preserve"> </w:t>
      </w:r>
      <w:proofErr w:type="gramStart"/>
      <w:r w:rsidRPr="0040543C">
        <w:rPr>
          <w:rStyle w:val="FontStyle12"/>
          <w:sz w:val="28"/>
          <w:szCs w:val="28"/>
        </w:rPr>
        <w:t>и</w:t>
      </w:r>
      <w:proofErr w:type="gramEnd"/>
      <w:r w:rsidRPr="0040543C">
        <w:rPr>
          <w:rStyle w:val="FontStyle12"/>
          <w:sz w:val="28"/>
          <w:szCs w:val="28"/>
        </w:rPr>
        <w:t xml:space="preserve"> организация пропагандистских акции («'Зарядка с чемпионом» и др.). и показательные выступления спортсменов в рамках городских мероприятий (городской праздник «День Победы» - спортивная локация «Сдача норм ГТО военных лет «Готов к труду и обороне!)- и т.п.).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и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организация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спортивной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смены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в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загородном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летнем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лагере</w:t>
      </w:r>
      <w:r w:rsidR="0040543C">
        <w:rPr>
          <w:rStyle w:val="FontStyle12"/>
          <w:sz w:val="28"/>
          <w:szCs w:val="28"/>
        </w:rPr>
        <w:t xml:space="preserve"> </w:t>
      </w:r>
      <w:r w:rsidRPr="0040543C">
        <w:rPr>
          <w:rStyle w:val="FontStyle12"/>
          <w:sz w:val="28"/>
          <w:szCs w:val="28"/>
        </w:rPr>
        <w:t>«Меридиан». И</w:t>
      </w:r>
    </w:p>
    <w:p w:rsidR="005E4F3A" w:rsidRPr="0040543C" w:rsidRDefault="005E4F3A" w:rsidP="0040543C">
      <w:pPr>
        <w:pStyle w:val="Style15"/>
        <w:widowControl/>
        <w:contextualSpacing/>
        <w:jc w:val="both"/>
        <w:rPr>
          <w:rStyle w:val="FontStyle12"/>
          <w:sz w:val="28"/>
          <w:szCs w:val="28"/>
        </w:rPr>
        <w:sectPr w:rsidR="005E4F3A" w:rsidRPr="0040543C" w:rsidSect="0040543C">
          <w:pgSz w:w="11909" w:h="16834"/>
          <w:pgMar w:top="567" w:right="567" w:bottom="567" w:left="567" w:header="720" w:footer="720" w:gutter="0"/>
          <w:cols w:space="720"/>
          <w:noEndnote/>
        </w:sectPr>
      </w:pPr>
    </w:p>
    <w:p w:rsidR="005E4F3A" w:rsidRPr="0040543C" w:rsidRDefault="005E4F3A" w:rsidP="0040543C">
      <w:pPr>
        <w:pStyle w:val="Style15"/>
        <w:widowControl/>
        <w:contextualSpacing/>
        <w:jc w:val="both"/>
        <w:rPr>
          <w:rStyle w:val="FontStyle12"/>
          <w:sz w:val="28"/>
          <w:szCs w:val="28"/>
        </w:rPr>
      </w:pPr>
      <w:proofErr w:type="gramStart"/>
      <w:r w:rsidRPr="0040543C">
        <w:rPr>
          <w:rStyle w:val="FontStyle12"/>
          <w:sz w:val="28"/>
          <w:szCs w:val="28"/>
        </w:rPr>
        <w:lastRenderedPageBreak/>
        <w:t>информационно-пропагандистская работа через СМИ и Интернет (еженедельная программа «</w:t>
      </w:r>
      <w:proofErr w:type="spellStart"/>
      <w:r w:rsidRPr="0040543C">
        <w:rPr>
          <w:rStyle w:val="FontStyle12"/>
          <w:sz w:val="28"/>
          <w:szCs w:val="28"/>
        </w:rPr>
        <w:t>Спорт-Анзор</w:t>
      </w:r>
      <w:proofErr w:type="spellEnd"/>
      <w:r w:rsidRPr="0040543C">
        <w:rPr>
          <w:rStyle w:val="FontStyle12"/>
          <w:sz w:val="28"/>
          <w:szCs w:val="28"/>
        </w:rPr>
        <w:t>»/ТВ «Абакан», прямые эфиры/ТВ «Абакан».</w:t>
      </w:r>
      <w:proofErr w:type="gramEnd"/>
      <w:r w:rsidRPr="0040543C">
        <w:rPr>
          <w:rStyle w:val="FontStyle12"/>
          <w:sz w:val="28"/>
          <w:szCs w:val="28"/>
        </w:rPr>
        <w:t xml:space="preserve"> «Радио-Абакан», тематические новостные сюжеты, анонсы</w:t>
      </w:r>
      <w:proofErr w:type="gramStart"/>
      <w:r w:rsidRPr="0040543C">
        <w:rPr>
          <w:rStyle w:val="FontStyle12"/>
          <w:sz w:val="28"/>
          <w:szCs w:val="28"/>
        </w:rPr>
        <w:t xml:space="preserve"> И</w:t>
      </w:r>
      <w:proofErr w:type="gramEnd"/>
      <w:r w:rsidRPr="0040543C">
        <w:rPr>
          <w:rStyle w:val="FontStyle12"/>
          <w:sz w:val="28"/>
          <w:szCs w:val="28"/>
        </w:rPr>
        <w:t xml:space="preserve"> пресс-релизы).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Календарный план физкультурных мероприятий и спортивных мероприятий муниципального образования город Абакан на 2019 год включал около 200 мероприятий. Кроме официальных городских мероприятий состоялись мероприятия по месту жительства, в спортивных клубах - всего 635 мероприятий по итогам года. Общее количество участников физкультурных, спортивно-массовых и спортивных мероприятий составило 69 354 чел., из них 6.5 тыс. чел. стали участниками всероссийских </w:t>
      </w:r>
      <w:proofErr w:type="spellStart"/>
      <w:r w:rsidRPr="0040543C">
        <w:rPr>
          <w:rStyle w:val="FontStyle12"/>
          <w:sz w:val="28"/>
          <w:szCs w:val="28"/>
        </w:rPr>
        <w:t>физкультурно-спортивиых</w:t>
      </w:r>
      <w:proofErr w:type="spellEnd"/>
      <w:r w:rsidRPr="0040543C">
        <w:rPr>
          <w:rStyle w:val="FontStyle12"/>
          <w:sz w:val="28"/>
          <w:szCs w:val="28"/>
        </w:rPr>
        <w:t xml:space="preserve"> проектов и акций («Кросс нации» и др.). Самым массовым было участие во Всероссийской акции «Зарядка с чемпионом»: 32 зарядки. 3564 участника.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Проведено 32 чемпионата и первенства города по видам спорта. 32 городских турнира, соревнования и кубка. 21 комплексное спортивное мероприятие. 2 спартакиады и 8 городских соревнований по видам спорта среди лиц с ограниченными возможностями здоровья. Среди мероприятий следует особо выделить летнюю Спартакиаду трудовых коллективов предприятий, организаций и учреждений города Абакана, которая после определенного перерыва вернулась в календарь официальных городских мероприятий - победителем в общекомандном зачете по 10 видам спорта стала команда Филиала Г1АО «МРСК Сибири» </w:t>
      </w:r>
      <w:proofErr w:type="gramStart"/>
      <w:r w:rsidRPr="0040543C">
        <w:rPr>
          <w:rStyle w:val="FontStyle12"/>
          <w:sz w:val="28"/>
          <w:szCs w:val="28"/>
        </w:rPr>
        <w:t>-«</w:t>
      </w:r>
      <w:proofErr w:type="spellStart"/>
      <w:proofErr w:type="gramEnd"/>
      <w:r w:rsidRPr="0040543C">
        <w:rPr>
          <w:rStyle w:val="FontStyle12"/>
          <w:sz w:val="28"/>
          <w:szCs w:val="28"/>
        </w:rPr>
        <w:t>Хакасэперго</w:t>
      </w:r>
      <w:proofErr w:type="spellEnd"/>
      <w:r w:rsidRPr="0040543C">
        <w:rPr>
          <w:rStyle w:val="FontStyle12"/>
          <w:sz w:val="28"/>
          <w:szCs w:val="28"/>
        </w:rPr>
        <w:t>».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Основная часть спортивных мероприятий проходила на базе муниципальных спорткомплексов. Оба спортивных комплекса входят во Всероссийский реестр спортивных объектов, что </w:t>
      </w:r>
      <w:proofErr w:type="gramStart"/>
      <w:r w:rsidRPr="0040543C">
        <w:rPr>
          <w:rStyle w:val="FontStyle12"/>
          <w:sz w:val="28"/>
          <w:szCs w:val="28"/>
        </w:rPr>
        <w:t>позволяет</w:t>
      </w:r>
      <w:proofErr w:type="gramEnd"/>
      <w:r w:rsidRPr="0040543C">
        <w:rPr>
          <w:rStyle w:val="FontStyle12"/>
          <w:sz w:val="28"/>
          <w:szCs w:val="28"/>
        </w:rPr>
        <w:t xml:space="preserve"> проводи </w:t>
      </w:r>
      <w:proofErr w:type="spellStart"/>
      <w:r w:rsidRPr="0040543C">
        <w:rPr>
          <w:rStyle w:val="FontStyle12"/>
          <w:sz w:val="28"/>
          <w:szCs w:val="28"/>
        </w:rPr>
        <w:t>ть</w:t>
      </w:r>
      <w:proofErr w:type="spellEnd"/>
      <w:r w:rsidRPr="0040543C">
        <w:rPr>
          <w:rStyle w:val="FontStyle12"/>
          <w:sz w:val="28"/>
          <w:szCs w:val="28"/>
        </w:rPr>
        <w:t xml:space="preserve"> соревнования всероссийского уровня. Па базе СК «Абакан» проведено 128 физкультурных, спортивно-массовых и спортивных мероприятий (5 всероссийского уровня. 123 - регионального и городского), в которых приняло участие 17270 спортсменов. В их числе: Всероссийские соревнования по плаванию «Кубок Сибири» па призы Главы города Абакана: чемпионат и первенство Сибирского Федерального </w:t>
      </w:r>
      <w:proofErr w:type="gramStart"/>
      <w:r w:rsidRPr="0040543C">
        <w:rPr>
          <w:rStyle w:val="FontStyle12"/>
          <w:sz w:val="28"/>
          <w:szCs w:val="28"/>
        </w:rPr>
        <w:t>округл</w:t>
      </w:r>
      <w:proofErr w:type="gramEnd"/>
      <w:r w:rsidRPr="0040543C">
        <w:rPr>
          <w:rStyle w:val="FontStyle12"/>
          <w:sz w:val="28"/>
          <w:szCs w:val="28"/>
        </w:rPr>
        <w:t xml:space="preserve"> но плаванию: Всероссийский турнир по вольной борьбе памяти Заслуженного мастера спорта СССР С.С. </w:t>
      </w:r>
      <w:proofErr w:type="spellStart"/>
      <w:r w:rsidRPr="0040543C">
        <w:rPr>
          <w:rStyle w:val="FontStyle12"/>
          <w:sz w:val="28"/>
          <w:szCs w:val="28"/>
        </w:rPr>
        <w:t>Карамчакова</w:t>
      </w:r>
      <w:proofErr w:type="spellEnd"/>
      <w:r w:rsidRPr="0040543C">
        <w:rPr>
          <w:rStyle w:val="FontStyle12"/>
          <w:sz w:val="28"/>
          <w:szCs w:val="28"/>
        </w:rPr>
        <w:t xml:space="preserve">; первенство Сибирского федерального округа по настольному теннису; первенство Сибирского федерального округа по дзюдо и др. На базе СК «Саяны» прошло 91 соревнование (2- всероссийского уровня. 35 - республиканского. 54 - городского), самые значимые из них: Всероссийские </w:t>
      </w:r>
      <w:proofErr w:type="gramStart"/>
      <w:r w:rsidRPr="0040543C">
        <w:rPr>
          <w:rStyle w:val="FontStyle12"/>
          <w:sz w:val="28"/>
          <w:szCs w:val="28"/>
        </w:rPr>
        <w:t>соревнования</w:t>
      </w:r>
      <w:proofErr w:type="gramEnd"/>
      <w:r w:rsidRPr="0040543C">
        <w:rPr>
          <w:rStyle w:val="FontStyle12"/>
          <w:sz w:val="28"/>
          <w:szCs w:val="28"/>
        </w:rPr>
        <w:t xml:space="preserve"> но хоккею с мячом среди команд высшей лиги: Всероссийские соревнования по хоккею с мячом клуба «Плетёный мяч» им. А. Мельникова среди юношей 2006 г.р. и др</w:t>
      </w:r>
      <w:proofErr w:type="gramStart"/>
      <w:r w:rsidRPr="0040543C">
        <w:rPr>
          <w:rStyle w:val="FontStyle12"/>
          <w:sz w:val="28"/>
          <w:szCs w:val="28"/>
        </w:rPr>
        <w:t>..</w:t>
      </w:r>
      <w:proofErr w:type="gramEnd"/>
    </w:p>
    <w:p w:rsidR="005E4F3A" w:rsidRPr="0040543C" w:rsidRDefault="005E4F3A" w:rsidP="0040543C">
      <w:pPr>
        <w:pStyle w:val="Style10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Состоялись мероприятия среди ветеранов спорта: региональный турнир по настольному теннису среди ветеранов «Абаканская ракетка», в котором приняли участие более 120 спортсменов Сибирского Федерального округа; открытое первенство города Абакана по настольному теннису среди ветеранов. Спортивная сборная команда города Абакана заняла I общекомандное место в летней Спартакиаде ветеранов физической культуры</w:t>
      </w:r>
      <w:proofErr w:type="gramStart"/>
      <w:r w:rsidRPr="0040543C">
        <w:rPr>
          <w:rStyle w:val="FontStyle12"/>
          <w:sz w:val="28"/>
          <w:szCs w:val="28"/>
        </w:rPr>
        <w:t xml:space="preserve"> И</w:t>
      </w:r>
      <w:proofErr w:type="gramEnd"/>
      <w:r w:rsidRPr="0040543C">
        <w:rPr>
          <w:rStyle w:val="FontStyle12"/>
          <w:sz w:val="28"/>
          <w:szCs w:val="28"/>
        </w:rPr>
        <w:t xml:space="preserve"> спорта Республики Хакасия (г. </w:t>
      </w:r>
      <w:proofErr w:type="spellStart"/>
      <w:r w:rsidRPr="0040543C">
        <w:rPr>
          <w:rStyle w:val="FontStyle12"/>
          <w:sz w:val="28"/>
          <w:szCs w:val="28"/>
        </w:rPr>
        <w:t>Саяиогорск</w:t>
      </w:r>
      <w:proofErr w:type="spellEnd"/>
      <w:r w:rsidRPr="0040543C">
        <w:rPr>
          <w:rStyle w:val="FontStyle12"/>
          <w:sz w:val="28"/>
          <w:szCs w:val="28"/>
        </w:rPr>
        <w:t>).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В конце сентября в Марке культуры и отдыха состоялся массовый общегородской спортивный праздник «День здоровья», в рамках которого прошли старты Всероссийского дня бега «Кросс наций» и </w:t>
      </w:r>
      <w:proofErr w:type="gramStart"/>
      <w:r w:rsidRPr="0040543C">
        <w:rPr>
          <w:rStyle w:val="FontStyle12"/>
          <w:sz w:val="28"/>
          <w:szCs w:val="28"/>
        </w:rPr>
        <w:t>соревнования</w:t>
      </w:r>
      <w:proofErr w:type="gramEnd"/>
      <w:r w:rsidRPr="0040543C">
        <w:rPr>
          <w:rStyle w:val="FontStyle12"/>
          <w:sz w:val="28"/>
          <w:szCs w:val="28"/>
        </w:rPr>
        <w:t xml:space="preserve"> но туристскому многоборью. В соревнованиях приняли участие команды общеобразовательных и спортивных школ города, физкультурные активы предприятий, организаций, учреждений города, команды клубов по месту жительства, семейные команды, всего около 1.5 тыс. чел. Победителями </w:t>
      </w:r>
      <w:r w:rsidRPr="0040543C">
        <w:rPr>
          <w:rStyle w:val="FontStyle12"/>
          <w:sz w:val="28"/>
          <w:szCs w:val="28"/>
        </w:rPr>
        <w:lastRenderedPageBreak/>
        <w:t>соревнований стали команды: «Отцы и дети» (жилой район «Гавань»). Филиал 11АО «МРСК Сибири» - «</w:t>
      </w:r>
      <w:proofErr w:type="spellStart"/>
      <w:r w:rsidRPr="0040543C">
        <w:rPr>
          <w:rStyle w:val="FontStyle12"/>
          <w:sz w:val="28"/>
          <w:szCs w:val="28"/>
        </w:rPr>
        <w:t>Хакаоиерго</w:t>
      </w:r>
      <w:proofErr w:type="spellEnd"/>
      <w:r w:rsidRPr="0040543C">
        <w:rPr>
          <w:rStyle w:val="FontStyle12"/>
          <w:sz w:val="28"/>
          <w:szCs w:val="28"/>
        </w:rPr>
        <w:t xml:space="preserve">». СОШ №29. СОИ! №2. семья </w:t>
      </w:r>
      <w:proofErr w:type="spellStart"/>
      <w:r w:rsidRPr="0040543C">
        <w:rPr>
          <w:rStyle w:val="FontStyle12"/>
          <w:sz w:val="28"/>
          <w:szCs w:val="28"/>
        </w:rPr>
        <w:t>Казыгашевых</w:t>
      </w:r>
      <w:proofErr w:type="spellEnd"/>
      <w:r w:rsidRPr="0040543C">
        <w:rPr>
          <w:rStyle w:val="FontStyle12"/>
          <w:sz w:val="28"/>
          <w:szCs w:val="28"/>
        </w:rPr>
        <w:t>.</w:t>
      </w:r>
    </w:p>
    <w:p w:rsidR="005E4F3A" w:rsidRPr="0040543C" w:rsidRDefault="005E4F3A" w:rsidP="0040543C">
      <w:pPr>
        <w:pStyle w:val="Style10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Особое внимание было уделено мероприятиям но реализации комплекса 1 ТО</w:t>
      </w:r>
      <w:proofErr w:type="gramStart"/>
      <w:r w:rsidRPr="0040543C">
        <w:rPr>
          <w:rStyle w:val="FontStyle12"/>
          <w:sz w:val="28"/>
          <w:szCs w:val="28"/>
        </w:rPr>
        <w:t>.</w:t>
      </w:r>
      <w:proofErr w:type="gramEnd"/>
      <w:r w:rsidRPr="0040543C">
        <w:rPr>
          <w:rStyle w:val="FontStyle12"/>
          <w:sz w:val="28"/>
          <w:szCs w:val="28"/>
        </w:rPr>
        <w:t xml:space="preserve"> /[</w:t>
      </w:r>
      <w:proofErr w:type="gramStart"/>
      <w:r w:rsidRPr="0040543C">
        <w:rPr>
          <w:rStyle w:val="FontStyle12"/>
          <w:sz w:val="28"/>
          <w:szCs w:val="28"/>
        </w:rPr>
        <w:t>л</w:t>
      </w:r>
      <w:proofErr w:type="gramEnd"/>
      <w:r w:rsidRPr="0040543C">
        <w:rPr>
          <w:rStyle w:val="FontStyle12"/>
          <w:sz w:val="28"/>
          <w:szCs w:val="28"/>
        </w:rPr>
        <w:t xml:space="preserve">я учащихся школ были организованы такие мероприятия, как «Летний фестиваль 1 ТО». «Зимний фестиваль ГТО» - в них приняли участие 37 команд (101 чел.). </w:t>
      </w:r>
      <w:proofErr w:type="gramStart"/>
      <w:r w:rsidRPr="0040543C">
        <w:rPr>
          <w:rStyle w:val="FontStyle12"/>
          <w:sz w:val="28"/>
          <w:szCs w:val="28"/>
        </w:rPr>
        <w:t>Сдача отдельных нормативов ГТО проходила в рамках проведения физкультурных и спортивных мероприятий (Городской</w:t>
      </w:r>
      <w:proofErr w:type="gramEnd"/>
    </w:p>
    <w:p w:rsidR="005E4F3A" w:rsidRPr="0040543C" w:rsidRDefault="005E4F3A" w:rsidP="0040543C">
      <w:pPr>
        <w:pStyle w:val="Style10"/>
        <w:widowControl/>
        <w:contextualSpacing/>
        <w:jc w:val="both"/>
        <w:rPr>
          <w:rStyle w:val="FontStyle12"/>
          <w:sz w:val="28"/>
          <w:szCs w:val="28"/>
        </w:rPr>
        <w:sectPr w:rsidR="005E4F3A" w:rsidRPr="0040543C" w:rsidSect="0040543C">
          <w:pgSz w:w="11909" w:h="16834"/>
          <w:pgMar w:top="567" w:right="567" w:bottom="567" w:left="567" w:header="720" w:footer="720" w:gutter="0"/>
          <w:cols w:space="720"/>
          <w:noEndnote/>
        </w:sectPr>
      </w:pPr>
    </w:p>
    <w:p w:rsidR="005E4F3A" w:rsidRPr="0040543C" w:rsidRDefault="005E4F3A" w:rsidP="0040543C">
      <w:pPr>
        <w:pStyle w:val="Style10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lastRenderedPageBreak/>
        <w:t>спартакиады допризывной молодежи; Спартакиады работающей молодежи и др.). Активными участниками сдачи нормативов ГТО стали предприятия и организации: Филиал НЛО «МРСК Сибири» - «</w:t>
      </w:r>
      <w:proofErr w:type="spellStart"/>
      <w:r w:rsidRPr="0040543C">
        <w:rPr>
          <w:rStyle w:val="FontStyle12"/>
          <w:sz w:val="28"/>
          <w:szCs w:val="28"/>
        </w:rPr>
        <w:t>Хакасэнерго</w:t>
      </w:r>
      <w:proofErr w:type="spellEnd"/>
      <w:r w:rsidRPr="0040543C">
        <w:rPr>
          <w:rStyle w:val="FontStyle12"/>
          <w:sz w:val="28"/>
          <w:szCs w:val="28"/>
        </w:rPr>
        <w:t>»: Главное управление МНС России по Республике Хакасия: Хакасская таможня: Прокуратура Республики Хакасии и др. Впервые была организована сдача нормативов ГТО семейными командами в рамках проекта «Семейный выходной» (фестиваль спортивных талантов «#</w:t>
      </w:r>
      <w:proofErr w:type="spellStart"/>
      <w:r w:rsidRPr="0040543C">
        <w:rPr>
          <w:rStyle w:val="FontStyle12"/>
          <w:sz w:val="28"/>
          <w:szCs w:val="28"/>
        </w:rPr>
        <w:t>СемьяГТОтест</w:t>
      </w:r>
      <w:proofErr w:type="spellEnd"/>
      <w:r w:rsidRPr="0040543C">
        <w:rPr>
          <w:rStyle w:val="FontStyle12"/>
          <w:sz w:val="28"/>
          <w:szCs w:val="28"/>
        </w:rPr>
        <w:t>». 51 семья). В 2019 г. в сдаче нормативов ГТО приняли участие 1332 чел., в общем итоге, начиная с 2016 г</w:t>
      </w:r>
      <w:proofErr w:type="gramStart"/>
      <w:r w:rsidRPr="0040543C">
        <w:rPr>
          <w:rStyle w:val="FontStyle12"/>
          <w:sz w:val="28"/>
          <w:szCs w:val="28"/>
        </w:rPr>
        <w:t xml:space="preserve">.. </w:t>
      </w:r>
      <w:proofErr w:type="gramEnd"/>
      <w:r w:rsidRPr="0040543C">
        <w:rPr>
          <w:rStyle w:val="FontStyle12"/>
          <w:sz w:val="28"/>
          <w:szCs w:val="28"/>
        </w:rPr>
        <w:t>когда ВФСК «ГТО» стал внедряться, общее количество прошедших тестирование составило 4795 чел.</w:t>
      </w:r>
    </w:p>
    <w:p w:rsidR="005E4F3A" w:rsidRPr="0040543C" w:rsidRDefault="005E4F3A" w:rsidP="0040543C">
      <w:pPr>
        <w:pStyle w:val="Style11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Количество сдавших нормативы ВФСК «ГТО» в г</w:t>
      </w:r>
      <w:proofErr w:type="gramStart"/>
      <w:r w:rsidRPr="0040543C">
        <w:rPr>
          <w:rStyle w:val="FontStyle12"/>
          <w:sz w:val="28"/>
          <w:szCs w:val="28"/>
        </w:rPr>
        <w:t>.А</w:t>
      </w:r>
      <w:proofErr w:type="gramEnd"/>
      <w:r w:rsidRPr="0040543C">
        <w:rPr>
          <w:rStyle w:val="FontStyle12"/>
          <w:sz w:val="28"/>
          <w:szCs w:val="28"/>
        </w:rPr>
        <w:t>бакане, (чел.)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16"/>
        <w:gridCol w:w="1109"/>
        <w:gridCol w:w="1102"/>
        <w:gridCol w:w="1253"/>
        <w:gridCol w:w="1382"/>
        <w:gridCol w:w="1534"/>
      </w:tblGrid>
      <w:tr w:rsidR="005E4F3A" w:rsidRPr="0040543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Нормативы 110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2016 г.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2017 г.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2018 г.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2019 г.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 xml:space="preserve">Всего за 4 </w:t>
            </w:r>
            <w:r w:rsidRPr="0040543C">
              <w:rPr>
                <w:rStyle w:val="FontStyle12"/>
                <w:b/>
                <w:bCs/>
                <w:sz w:val="28"/>
                <w:szCs w:val="28"/>
              </w:rPr>
              <w:t xml:space="preserve">I </w:t>
            </w:r>
            <w:r w:rsidRPr="0040543C">
              <w:rPr>
                <w:rStyle w:val="FontStyle12"/>
                <w:sz w:val="28"/>
                <w:szCs w:val="28"/>
              </w:rPr>
              <w:t>ода</w:t>
            </w:r>
          </w:p>
        </w:tc>
      </w:tr>
      <w:tr w:rsidR="005E4F3A" w:rsidRPr="0040543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золотой знак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28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9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142""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181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"~ 260~"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"</w:t>
            </w:r>
            <w:proofErr w:type="spellStart"/>
            <w:r w:rsidRPr="0040543C">
              <w:rPr>
                <w:rStyle w:val="FontStyle12"/>
                <w:sz w:val="28"/>
                <w:szCs w:val="28"/>
              </w:rPr>
              <w:t>ом</w:t>
            </w:r>
            <w:proofErr w:type="spellEnd"/>
          </w:p>
        </w:tc>
      </w:tr>
      <w:tr w:rsidR="005E4F3A" w:rsidRPr="0040543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серебряный знак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49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123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245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650</w:t>
            </w:r>
          </w:p>
        </w:tc>
      </w:tr>
      <w:tr w:rsidR="005E4F3A" w:rsidRPr="0040543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бронзовый знак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34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69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102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90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295</w:t>
            </w:r>
          </w:p>
        </w:tc>
      </w:tr>
      <w:tr w:rsidR="005E4F3A" w:rsidRPr="0040543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не выполнили нормативы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684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945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873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737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3239</w:t>
            </w:r>
          </w:p>
        </w:tc>
      </w:tr>
      <w:tr w:rsidR="005E4F3A" w:rsidRPr="0040543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7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общее</w:t>
            </w:r>
            <w:r w:rsidR="0040543C">
              <w:rPr>
                <w:rStyle w:val="FontStyle12"/>
                <w:sz w:val="28"/>
                <w:szCs w:val="28"/>
              </w:rPr>
              <w:t xml:space="preserve"> </w:t>
            </w:r>
            <w:r w:rsidRPr="0040543C">
              <w:rPr>
                <w:rStyle w:val="FontStyle12"/>
                <w:sz w:val="28"/>
                <w:szCs w:val="28"/>
              </w:rPr>
              <w:t xml:space="preserve">количество </w:t>
            </w:r>
            <w:proofErr w:type="gramStart"/>
            <w:r w:rsidRPr="0040543C">
              <w:rPr>
                <w:rStyle w:val="FontStyle12"/>
                <w:sz w:val="28"/>
                <w:szCs w:val="28"/>
              </w:rPr>
              <w:t>прошедших</w:t>
            </w:r>
            <w:proofErr w:type="gramEnd"/>
            <w:r w:rsidRPr="0040543C">
              <w:rPr>
                <w:rStyle w:val="FontStyle12"/>
                <w:sz w:val="28"/>
                <w:szCs w:val="28"/>
              </w:rPr>
              <w:t xml:space="preserve"> тестирование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795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1279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1389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1332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4795</w:t>
            </w:r>
          </w:p>
        </w:tc>
      </w:tr>
      <w:tr w:rsidR="005E4F3A" w:rsidRPr="0040543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Основной площадкой для сдачи нормативов</w:t>
            </w:r>
          </w:p>
        </w:tc>
        <w:tc>
          <w:tcPr>
            <w:tcW w:w="4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A" w:rsidRPr="0040543C" w:rsidRDefault="005E4F3A" w:rsidP="0040543C">
            <w:pPr>
              <w:pStyle w:val="Style13"/>
              <w:widowControl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40543C">
              <w:rPr>
                <w:rStyle w:val="FontStyle12"/>
                <w:sz w:val="28"/>
                <w:szCs w:val="28"/>
              </w:rPr>
              <w:t>"ТО является муниципальный центр</w:t>
            </w:r>
          </w:p>
        </w:tc>
      </w:tr>
    </w:tbl>
    <w:p w:rsidR="005E4F3A" w:rsidRPr="0040543C" w:rsidRDefault="005E4F3A" w:rsidP="0040543C">
      <w:pPr>
        <w:pStyle w:val="Style14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тестирования ВФСК «ГТО» в СК «Саяны». Действуют места тестирования на базе </w:t>
      </w:r>
      <w:proofErr w:type="spellStart"/>
      <w:r w:rsidRPr="0040543C">
        <w:rPr>
          <w:rStyle w:val="FontStyle12"/>
          <w:sz w:val="28"/>
          <w:szCs w:val="28"/>
        </w:rPr>
        <w:t>физкультурпо-егюртивных</w:t>
      </w:r>
      <w:proofErr w:type="spellEnd"/>
      <w:r w:rsidRPr="0040543C">
        <w:rPr>
          <w:rStyle w:val="FontStyle12"/>
          <w:sz w:val="28"/>
          <w:szCs w:val="28"/>
        </w:rPr>
        <w:t>. образовательных и иных организаций (всего 25). в том числе в СК «Абакан», Парке культуры</w:t>
      </w:r>
      <w:proofErr w:type="gramStart"/>
      <w:r w:rsidRPr="0040543C">
        <w:rPr>
          <w:rStyle w:val="FontStyle12"/>
          <w:sz w:val="28"/>
          <w:szCs w:val="28"/>
        </w:rPr>
        <w:t xml:space="preserve"> И</w:t>
      </w:r>
      <w:proofErr w:type="gramEnd"/>
      <w:r w:rsidRPr="0040543C">
        <w:rPr>
          <w:rStyle w:val="FontStyle12"/>
          <w:sz w:val="28"/>
          <w:szCs w:val="28"/>
        </w:rPr>
        <w:t xml:space="preserve"> отдыха, общеобразовательных школах, ХГУ им. </w:t>
      </w:r>
      <w:proofErr w:type="spellStart"/>
      <w:r w:rsidRPr="0040543C">
        <w:rPr>
          <w:rStyle w:val="FontStyle12"/>
          <w:sz w:val="28"/>
          <w:szCs w:val="28"/>
        </w:rPr>
        <w:t>Н.Ф.Катаиова</w:t>
      </w:r>
      <w:proofErr w:type="spellEnd"/>
      <w:r w:rsidRPr="0040543C">
        <w:rPr>
          <w:rStyle w:val="FontStyle12"/>
          <w:sz w:val="28"/>
          <w:szCs w:val="28"/>
        </w:rPr>
        <w:t>.</w:t>
      </w:r>
    </w:p>
    <w:p w:rsidR="005E4F3A" w:rsidRPr="0040543C" w:rsidRDefault="005E4F3A" w:rsidP="0040543C">
      <w:pPr>
        <w:pStyle w:val="Style3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Организация </w:t>
      </w:r>
      <w:proofErr w:type="spellStart"/>
      <w:r w:rsidRPr="0040543C">
        <w:rPr>
          <w:rStyle w:val="FontStyle12"/>
          <w:sz w:val="28"/>
          <w:szCs w:val="28"/>
        </w:rPr>
        <w:t>физкультурио-спортивной</w:t>
      </w:r>
      <w:proofErr w:type="spellEnd"/>
      <w:r w:rsidRPr="0040543C">
        <w:rPr>
          <w:rStyle w:val="FontStyle12"/>
          <w:sz w:val="28"/>
          <w:szCs w:val="28"/>
        </w:rPr>
        <w:t xml:space="preserve"> работы по месту жительства позволяет обеспечивать шаговую доступность замятий физической культурой для населения. По месту жительства проведено 210 физкультурно-оздоровительных мероприятий (9956 участников), в т.ч.: 91 - </w:t>
      </w:r>
      <w:proofErr w:type="gramStart"/>
      <w:r w:rsidRPr="0040543C">
        <w:rPr>
          <w:rStyle w:val="FontStyle12"/>
          <w:sz w:val="28"/>
          <w:szCs w:val="28"/>
        </w:rPr>
        <w:t>клубами</w:t>
      </w:r>
      <w:proofErr w:type="gramEnd"/>
      <w:r w:rsidRPr="0040543C">
        <w:rPr>
          <w:rStyle w:val="FontStyle12"/>
          <w:sz w:val="28"/>
          <w:szCs w:val="28"/>
        </w:rPr>
        <w:t xml:space="preserve"> но месту жительства Городского общественно-культурного центра по работе с населением по месту жительства; 119 - органами территориального общественного самоуправления. Клубами по месту жительство организованы также занятия в спортивных секциях (футбол, настольный теннис, туризм и др</w:t>
      </w:r>
      <w:proofErr w:type="gramStart"/>
      <w:r w:rsidRPr="0040543C">
        <w:rPr>
          <w:rStyle w:val="FontStyle12"/>
          <w:sz w:val="28"/>
          <w:szCs w:val="28"/>
        </w:rPr>
        <w:t xml:space="preserve">.. </w:t>
      </w:r>
      <w:proofErr w:type="gramEnd"/>
      <w:r w:rsidRPr="0040543C">
        <w:rPr>
          <w:rStyle w:val="FontStyle12"/>
          <w:sz w:val="28"/>
          <w:szCs w:val="28"/>
        </w:rPr>
        <w:t>охват 168 чел.).</w:t>
      </w:r>
    </w:p>
    <w:p w:rsidR="005E4F3A" w:rsidRPr="0040543C" w:rsidRDefault="005E4F3A" w:rsidP="0040543C">
      <w:pPr>
        <w:pStyle w:val="Style8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Физкультурно-оздоровительная работа с населением проводилась и </w:t>
      </w:r>
      <w:proofErr w:type="spellStart"/>
      <w:proofErr w:type="gramStart"/>
      <w:r w:rsidRPr="0040543C">
        <w:rPr>
          <w:rStyle w:val="FontStyle12"/>
          <w:sz w:val="28"/>
          <w:szCs w:val="28"/>
        </w:rPr>
        <w:t>фитнес-клубами</w:t>
      </w:r>
      <w:proofErr w:type="spellEnd"/>
      <w:proofErr w:type="gramEnd"/>
      <w:r w:rsidRPr="0040543C">
        <w:rPr>
          <w:rStyle w:val="FontStyle12"/>
          <w:sz w:val="28"/>
          <w:szCs w:val="28"/>
        </w:rPr>
        <w:t xml:space="preserve"> - их количество в юроде в 2019 г. выросло до 45. возросло и число посещающих их горожан - до 13892 чел.</w:t>
      </w:r>
    </w:p>
    <w:p w:rsidR="005E4F3A" w:rsidRPr="0040543C" w:rsidRDefault="005E4F3A" w:rsidP="0040543C">
      <w:pPr>
        <w:pStyle w:val="Style5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Более 13 тыс. горожан посещали муниципальные спорткомплексы. В СК «Абакан» систематически занимались физической культурой </w:t>
      </w:r>
      <w:proofErr w:type="spellStart"/>
      <w:proofErr w:type="gramStart"/>
      <w:r w:rsidRPr="0040543C">
        <w:rPr>
          <w:rStyle w:val="FontStyle12"/>
          <w:sz w:val="28"/>
          <w:szCs w:val="28"/>
        </w:rPr>
        <w:t>п</w:t>
      </w:r>
      <w:proofErr w:type="spellEnd"/>
      <w:proofErr w:type="gramEnd"/>
      <w:r w:rsidRPr="0040543C">
        <w:rPr>
          <w:rStyle w:val="FontStyle12"/>
          <w:sz w:val="28"/>
          <w:szCs w:val="28"/>
        </w:rPr>
        <w:t xml:space="preserve"> спортом более 7.5 тыс. чел. -плавательный и детский бассейны, универсальный игровой зал. тренажёрные залы, залы аэробики СК «Абакан» ежедневно принимали от 2 до 2.5 тыс. горожан. В СК «Саяны» систематически занимались физической культурой и спортом более 5,5 тыс. чел. - более 2.3 тыс. горожан ежедневно посещали СК «Саяны» для занятий аэробикой, бодибилдингом, тяжелой и легкой атлетикой, футболом, хоккеем с мячом, большим теннисом, баскетболом. В летний период па базе СК «Саяны» была открыта школа летнего футбола, школа тенниса их посещали более 200 детей. В зимний период был особенно востребованным каток СК «Саяны» (10,1 </w:t>
      </w:r>
      <w:proofErr w:type="spellStart"/>
      <w:proofErr w:type="gramStart"/>
      <w:r w:rsidRPr="0040543C">
        <w:rPr>
          <w:rStyle w:val="FontStyle12"/>
          <w:sz w:val="28"/>
          <w:szCs w:val="28"/>
        </w:rPr>
        <w:t>тыс</w:t>
      </w:r>
      <w:proofErr w:type="spellEnd"/>
      <w:proofErr w:type="gramEnd"/>
      <w:r w:rsidRPr="0040543C">
        <w:rPr>
          <w:rStyle w:val="FontStyle12"/>
          <w:sz w:val="28"/>
          <w:szCs w:val="28"/>
        </w:rPr>
        <w:t>, чел./посещений).</w:t>
      </w:r>
    </w:p>
    <w:p w:rsidR="005E4F3A" w:rsidRPr="0040543C" w:rsidRDefault="005E4F3A" w:rsidP="0040543C">
      <w:pPr>
        <w:pStyle w:val="Style5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На содействие развитию школьного спорта и массового спорта была направлена совместная работа Комитета физической культуры и спорта и 1 'о роде </w:t>
      </w:r>
      <w:proofErr w:type="gramStart"/>
      <w:r w:rsidRPr="0040543C">
        <w:rPr>
          <w:rStyle w:val="FontStyle12"/>
          <w:sz w:val="28"/>
          <w:szCs w:val="28"/>
        </w:rPr>
        <w:t>ко</w:t>
      </w:r>
      <w:proofErr w:type="gramEnd"/>
      <w:r w:rsidRPr="0040543C">
        <w:rPr>
          <w:rStyle w:val="FontStyle12"/>
          <w:sz w:val="28"/>
          <w:szCs w:val="28"/>
        </w:rPr>
        <w:t xml:space="preserve"> го управления образования Администрации города Абакана - взаимодействие осуществлялось в рамках </w:t>
      </w:r>
      <w:r w:rsidRPr="0040543C">
        <w:rPr>
          <w:rStyle w:val="FontStyle12"/>
          <w:sz w:val="28"/>
          <w:szCs w:val="28"/>
        </w:rPr>
        <w:lastRenderedPageBreak/>
        <w:t xml:space="preserve">Межведомственного совета по вопросам поддержки и развития дополнительного образования детей в г. Абакане. Межведомственного календарного плана физкультурных </w:t>
      </w:r>
      <w:proofErr w:type="spellStart"/>
      <w:proofErr w:type="gramStart"/>
      <w:r w:rsidRPr="0040543C">
        <w:rPr>
          <w:rStyle w:val="FontStyle12"/>
          <w:sz w:val="28"/>
          <w:szCs w:val="28"/>
        </w:rPr>
        <w:t>п</w:t>
      </w:r>
      <w:proofErr w:type="spellEnd"/>
      <w:proofErr w:type="gramEnd"/>
      <w:r w:rsidRPr="0040543C">
        <w:rPr>
          <w:rStyle w:val="FontStyle12"/>
          <w:sz w:val="28"/>
          <w:szCs w:val="28"/>
        </w:rPr>
        <w:t xml:space="preserve"> спортивных мероприятий среди учащихся общеобразовательных учреждений города Абакана на 2019 год. Продолжена работа </w:t>
      </w:r>
      <w:r w:rsidRPr="0040543C">
        <w:rPr>
          <w:rStyle w:val="FontStyle12"/>
          <w:i/>
          <w:iCs/>
          <w:sz w:val="28"/>
          <w:szCs w:val="28"/>
        </w:rPr>
        <w:t xml:space="preserve">образовательных кластеров спортивной направленности: </w:t>
      </w:r>
      <w:proofErr w:type="gramStart"/>
      <w:r w:rsidRPr="0040543C">
        <w:rPr>
          <w:rStyle w:val="FontStyle12"/>
          <w:sz w:val="28"/>
          <w:szCs w:val="28"/>
        </w:rPr>
        <w:t>«Через ГТО - к спорту» па базе СО 11.1 №24 и «Туризм - путь к здоровью» па базе СО! 1.1 №25. участниками кластеров являются спортивные школы (СДЮШОР по легкой атлетике.</w:t>
      </w:r>
      <w:proofErr w:type="gramEnd"/>
      <w:r w:rsidRPr="0040543C">
        <w:rPr>
          <w:rStyle w:val="FontStyle12"/>
          <w:sz w:val="28"/>
          <w:szCs w:val="28"/>
        </w:rPr>
        <w:t xml:space="preserve"> </w:t>
      </w:r>
      <w:proofErr w:type="gramStart"/>
      <w:r w:rsidRPr="0040543C">
        <w:rPr>
          <w:rStyle w:val="FontStyle12"/>
          <w:sz w:val="28"/>
          <w:szCs w:val="28"/>
        </w:rPr>
        <w:t>ДЮШ по спортивному туризму и др.).</w:t>
      </w:r>
      <w:proofErr w:type="gramEnd"/>
    </w:p>
    <w:p w:rsidR="005E4F3A" w:rsidRPr="0040543C" w:rsidRDefault="005E4F3A" w:rsidP="0040543C">
      <w:pPr>
        <w:pStyle w:val="Style8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Среди наиболее значимых городских спортивно-массовых мероприятий, в которых</w:t>
      </w:r>
    </w:p>
    <w:p w:rsidR="005E4F3A" w:rsidRPr="0040543C" w:rsidRDefault="005E4F3A" w:rsidP="0040543C">
      <w:pPr>
        <w:pStyle w:val="Style8"/>
        <w:widowControl/>
        <w:contextualSpacing/>
        <w:jc w:val="both"/>
        <w:rPr>
          <w:rStyle w:val="FontStyle12"/>
          <w:sz w:val="28"/>
          <w:szCs w:val="28"/>
        </w:rPr>
        <w:sectPr w:rsidR="005E4F3A" w:rsidRPr="0040543C" w:rsidSect="0040543C">
          <w:pgSz w:w="11909" w:h="16834"/>
          <w:pgMar w:top="567" w:right="567" w:bottom="567" w:left="567" w:header="720" w:footer="720" w:gutter="0"/>
          <w:cols w:space="720"/>
          <w:noEndnote/>
        </w:sectPr>
      </w:pPr>
    </w:p>
    <w:p w:rsidR="005E4F3A" w:rsidRPr="0040543C" w:rsidRDefault="005E4F3A" w:rsidP="0040543C">
      <w:pPr>
        <w:pStyle w:val="Style4"/>
        <w:widowControl/>
        <w:contextualSpacing/>
        <w:jc w:val="both"/>
        <w:rPr>
          <w:rStyle w:val="FontStyle12"/>
          <w:sz w:val="28"/>
          <w:szCs w:val="28"/>
        </w:rPr>
      </w:pPr>
      <w:proofErr w:type="gramStart"/>
      <w:r w:rsidRPr="0040543C">
        <w:rPr>
          <w:rStyle w:val="FontStyle12"/>
          <w:sz w:val="28"/>
          <w:szCs w:val="28"/>
        </w:rPr>
        <w:lastRenderedPageBreak/>
        <w:t>принимали участие школьники, можно выделить: городские соревнования по волейболу «Серебряный мяч»: школьный чемпионат по баскетболу «ЮС-БЛСКЕТ»: спартакиаду молодежи Абакана допризывного возраста, посвященную /Дню защитника Отечества; летние соревнования по баскетболу и волейболу; городские соревнования по лёгкой атлетике: оздоровительные забеги «Стартуют все»: муниципальные этапы всероссийских массовых соревнований («Оранжевый мяч».</w:t>
      </w:r>
      <w:proofErr w:type="gramEnd"/>
      <w:r w:rsidRPr="0040543C">
        <w:rPr>
          <w:rStyle w:val="FontStyle12"/>
          <w:sz w:val="28"/>
          <w:szCs w:val="28"/>
        </w:rPr>
        <w:t xml:space="preserve"> «Белая ладья». «Президентские состязания», «Президентские спортивные игры». </w:t>
      </w:r>
      <w:proofErr w:type="gramStart"/>
      <w:r w:rsidRPr="0040543C">
        <w:rPr>
          <w:rStyle w:val="FontStyle12"/>
          <w:sz w:val="28"/>
          <w:szCs w:val="28"/>
        </w:rPr>
        <w:t xml:space="preserve">«Кросс нации») </w:t>
      </w:r>
      <w:proofErr w:type="spellStart"/>
      <w:r w:rsidRPr="0040543C">
        <w:rPr>
          <w:rStyle w:val="FontStyle12"/>
          <w:sz w:val="28"/>
          <w:szCs w:val="28"/>
        </w:rPr>
        <w:t>н</w:t>
      </w:r>
      <w:proofErr w:type="spellEnd"/>
      <w:r w:rsidRPr="0040543C">
        <w:rPr>
          <w:rStyle w:val="FontStyle12"/>
          <w:sz w:val="28"/>
          <w:szCs w:val="28"/>
        </w:rPr>
        <w:t xml:space="preserve"> др.</w:t>
      </w:r>
      <w:proofErr w:type="gramEnd"/>
    </w:p>
    <w:p w:rsidR="005E4F3A" w:rsidRPr="0040543C" w:rsidRDefault="005E4F3A" w:rsidP="0040543C">
      <w:pPr>
        <w:pStyle w:val="Style15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Развитие детско-юношеского спорта в целях создания условии для подготовки спортивных сборных команд г. Абакана и участие в обеспечении подготовки спортивного резерва для спортивных сборных команд Республики Хакасия было одним из главных вопросов в развитии физической культуры и спорта в г</w:t>
      </w:r>
      <w:proofErr w:type="gramStart"/>
      <w:r w:rsidRPr="0040543C">
        <w:rPr>
          <w:rStyle w:val="FontStyle12"/>
          <w:sz w:val="28"/>
          <w:szCs w:val="28"/>
        </w:rPr>
        <w:t>.А</w:t>
      </w:r>
      <w:proofErr w:type="gramEnd"/>
      <w:r w:rsidRPr="0040543C">
        <w:rPr>
          <w:rStyle w:val="FontStyle12"/>
          <w:sz w:val="28"/>
          <w:szCs w:val="28"/>
        </w:rPr>
        <w:t>бакане в 2019 г. Принятие Правительством Российской Федерации Концепции подготовки спортивного резерва в Российской Федерации в конце 2018 г. обозначило необходимость неотложного решения задачи модернизации деятельности но спортивной подготовке, которая в течение многих лет осуществлялась в г</w:t>
      </w:r>
      <w:proofErr w:type="gramStart"/>
      <w:r w:rsidRPr="0040543C">
        <w:rPr>
          <w:rStyle w:val="FontStyle12"/>
          <w:sz w:val="28"/>
          <w:szCs w:val="28"/>
        </w:rPr>
        <w:t>.А</w:t>
      </w:r>
      <w:proofErr w:type="gramEnd"/>
      <w:r w:rsidRPr="0040543C">
        <w:rPr>
          <w:rStyle w:val="FontStyle12"/>
          <w:sz w:val="28"/>
          <w:szCs w:val="28"/>
        </w:rPr>
        <w:t>бакане па базе 9 учреждений дополнительного образования сферы спорта.</w:t>
      </w:r>
    </w:p>
    <w:p w:rsidR="005E4F3A" w:rsidRPr="0040543C" w:rsidRDefault="005E4F3A" w:rsidP="0040543C">
      <w:pPr>
        <w:pStyle w:val="Style10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В 2019 г. два учреждения дополнительного образования г</w:t>
      </w:r>
      <w:proofErr w:type="gramStart"/>
      <w:r w:rsidRPr="0040543C">
        <w:rPr>
          <w:rStyle w:val="FontStyle12"/>
          <w:sz w:val="28"/>
          <w:szCs w:val="28"/>
        </w:rPr>
        <w:t>.А</w:t>
      </w:r>
      <w:proofErr w:type="gramEnd"/>
      <w:r w:rsidRPr="0040543C">
        <w:rPr>
          <w:rStyle w:val="FontStyle12"/>
          <w:sz w:val="28"/>
          <w:szCs w:val="28"/>
        </w:rPr>
        <w:t xml:space="preserve">бакана - СДЮШОР настольного тенниса и СДЮСШОР по легкой атлетике - перешли в </w:t>
      </w:r>
      <w:proofErr w:type="spellStart"/>
      <w:r w:rsidRPr="0040543C">
        <w:rPr>
          <w:rStyle w:val="FontStyle12"/>
          <w:sz w:val="28"/>
          <w:szCs w:val="28"/>
        </w:rPr>
        <w:t>физкультурио-спортивныс</w:t>
      </w:r>
      <w:proofErr w:type="spellEnd"/>
      <w:r w:rsidRPr="0040543C">
        <w:rPr>
          <w:rStyle w:val="FontStyle12"/>
          <w:sz w:val="28"/>
          <w:szCs w:val="28"/>
        </w:rPr>
        <w:t xml:space="preserve"> организации. В Спортивной школе олимпийского резерва по легкой атлетике и Спортивной школе настольного тенниса реализуются программы спортивной подготовки по базовым для республики видам спорта (легкая атлетика, настольный теннис) в соответствии с федеральными стандартами спортивной подготовки по видам спорта. На программы спортивной подготовки переведены 948 спортсменов.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Муниципальные спортивные школы успешно справляются с задачами подготовки спортивного резерва - об этом говорят достигнутые в 2019 году спортивные результаты. Муниципальные спортивные школы подготовили более 400 спортсменов, которые вошли и состав сборных команд Республики Хакасия (в т.ч. по базовым видам спорта - 126. из них: </w:t>
      </w:r>
      <w:proofErr w:type="gramStart"/>
      <w:r w:rsidRPr="0040543C">
        <w:rPr>
          <w:rStyle w:val="FontStyle12"/>
          <w:sz w:val="28"/>
          <w:szCs w:val="28"/>
        </w:rPr>
        <w:t>82</w:t>
      </w:r>
      <w:proofErr w:type="gramEnd"/>
      <w:r w:rsidRPr="0040543C">
        <w:rPr>
          <w:rStyle w:val="FontStyle12"/>
          <w:sz w:val="28"/>
          <w:szCs w:val="28"/>
        </w:rPr>
        <w:t xml:space="preserve"> но легкой атлетике: 44 - по настольному </w:t>
      </w:r>
      <w:proofErr w:type="spellStart"/>
      <w:r w:rsidRPr="0040543C">
        <w:rPr>
          <w:rStyle w:val="FontStyle12"/>
          <w:sz w:val="28"/>
          <w:szCs w:val="28"/>
        </w:rPr>
        <w:t>теийису</w:t>
      </w:r>
      <w:proofErr w:type="spellEnd"/>
      <w:r w:rsidRPr="0040543C">
        <w:rPr>
          <w:rStyle w:val="FontStyle12"/>
          <w:sz w:val="28"/>
          <w:szCs w:val="28"/>
        </w:rPr>
        <w:t xml:space="preserve">). В составы сборных команд Российской Федерации по видам спорта вошли 3 спортсмена, в их числе: </w:t>
      </w:r>
      <w:proofErr w:type="spellStart"/>
      <w:r w:rsidRPr="0040543C">
        <w:rPr>
          <w:rStyle w:val="FontStyle12"/>
          <w:sz w:val="28"/>
          <w:szCs w:val="28"/>
        </w:rPr>
        <w:t>Змазиев</w:t>
      </w:r>
      <w:proofErr w:type="spellEnd"/>
      <w:r w:rsidRPr="0040543C">
        <w:rPr>
          <w:rStyle w:val="FontStyle12"/>
          <w:sz w:val="28"/>
          <w:szCs w:val="28"/>
        </w:rPr>
        <w:t xml:space="preserve"> Илья. Попов Артём (лёгкая атлетика): Мал едкий В.С. (спорт слепых/шахматы).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Повысили спортивный разряд 1882 учащихся и спортсменов, из них: 3 - выполнили норматив звания «Мастер спорта России» - </w:t>
      </w:r>
      <w:proofErr w:type="spellStart"/>
      <w:r w:rsidRPr="0040543C">
        <w:rPr>
          <w:rStyle w:val="FontStyle12"/>
          <w:sz w:val="28"/>
          <w:szCs w:val="28"/>
        </w:rPr>
        <w:t>Чертыков</w:t>
      </w:r>
      <w:proofErr w:type="spellEnd"/>
      <w:r w:rsidRPr="0040543C">
        <w:rPr>
          <w:rStyle w:val="FontStyle12"/>
          <w:sz w:val="28"/>
          <w:szCs w:val="28"/>
        </w:rPr>
        <w:t xml:space="preserve"> Денис (СШОР по лёгкой атлетике). Абрамова Екатерина, </w:t>
      </w:r>
      <w:proofErr w:type="spellStart"/>
      <w:r w:rsidRPr="0040543C">
        <w:rPr>
          <w:rStyle w:val="FontStyle12"/>
          <w:sz w:val="28"/>
          <w:szCs w:val="28"/>
        </w:rPr>
        <w:t>Макунина</w:t>
      </w:r>
      <w:proofErr w:type="spellEnd"/>
      <w:r w:rsidRPr="0040543C">
        <w:rPr>
          <w:rStyle w:val="FontStyle12"/>
          <w:sz w:val="28"/>
          <w:szCs w:val="28"/>
        </w:rPr>
        <w:t xml:space="preserve"> Яма (СШ настольного тенниса); 30 - выполнили норматив кандидата в мастера спорта России.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В целом. 2019 год стал успешным для дальнейшего развития спортивно!! инфраструктуры юрода, принятые меры позволяют существенно улучшить материально-техническую базу для проведения учебно-тренировочного процесса</w:t>
      </w:r>
      <w:proofErr w:type="gramStart"/>
      <w:r w:rsidRPr="0040543C">
        <w:rPr>
          <w:rStyle w:val="FontStyle12"/>
          <w:sz w:val="28"/>
          <w:szCs w:val="28"/>
        </w:rPr>
        <w:t xml:space="preserve"> И</w:t>
      </w:r>
      <w:proofErr w:type="gramEnd"/>
      <w:r w:rsidRPr="0040543C">
        <w:rPr>
          <w:rStyle w:val="FontStyle12"/>
          <w:sz w:val="28"/>
          <w:szCs w:val="28"/>
        </w:rPr>
        <w:t xml:space="preserve"> занятий физической культурой в шаговой доступности. В 2019 с продолжено строительство Центра настольного тенниса. Центра единоборств, спортивного зала па ул. </w:t>
      </w:r>
      <w:proofErr w:type="gramStart"/>
      <w:r w:rsidRPr="0040543C">
        <w:rPr>
          <w:rStyle w:val="FontStyle12"/>
          <w:sz w:val="28"/>
          <w:szCs w:val="28"/>
        </w:rPr>
        <w:t>Кедровой</w:t>
      </w:r>
      <w:proofErr w:type="gramEnd"/>
      <w:r w:rsidRPr="0040543C">
        <w:rPr>
          <w:rStyle w:val="FontStyle12"/>
          <w:sz w:val="28"/>
          <w:szCs w:val="28"/>
        </w:rPr>
        <w:t xml:space="preserve"> (КДЦ «Красный Абакан»), легкоатлетического манежа СК «Абакан». Завершено строительство ФОК «</w:t>
      </w:r>
      <w:proofErr w:type="spellStart"/>
      <w:r w:rsidRPr="0040543C">
        <w:rPr>
          <w:rStyle w:val="FontStyle12"/>
          <w:sz w:val="28"/>
          <w:szCs w:val="28"/>
        </w:rPr>
        <w:t>Тенеен</w:t>
      </w:r>
      <w:proofErr w:type="spellEnd"/>
      <w:r w:rsidRPr="0040543C">
        <w:rPr>
          <w:rStyle w:val="FontStyle12"/>
          <w:sz w:val="28"/>
          <w:szCs w:val="28"/>
        </w:rPr>
        <w:t>»</w:t>
      </w:r>
      <w:proofErr w:type="gramStart"/>
      <w:r w:rsidRPr="0040543C">
        <w:rPr>
          <w:rStyle w:val="FontStyle12"/>
          <w:sz w:val="28"/>
          <w:szCs w:val="28"/>
        </w:rPr>
        <w:t>.</w:t>
      </w:r>
      <w:proofErr w:type="gramEnd"/>
      <w:r w:rsidRPr="0040543C">
        <w:rPr>
          <w:rStyle w:val="FontStyle12"/>
          <w:sz w:val="28"/>
          <w:szCs w:val="28"/>
        </w:rPr>
        <w:t xml:space="preserve"> </w:t>
      </w:r>
      <w:proofErr w:type="gramStart"/>
      <w:r w:rsidRPr="0040543C">
        <w:rPr>
          <w:rStyle w:val="FontStyle12"/>
          <w:sz w:val="28"/>
          <w:szCs w:val="28"/>
        </w:rPr>
        <w:t>в</w:t>
      </w:r>
      <w:proofErr w:type="gramEnd"/>
      <w:r w:rsidRPr="0040543C">
        <w:rPr>
          <w:rStyle w:val="FontStyle12"/>
          <w:sz w:val="28"/>
          <w:szCs w:val="28"/>
        </w:rPr>
        <w:t xml:space="preserve"> составе которого находи </w:t>
      </w:r>
      <w:proofErr w:type="spellStart"/>
      <w:r w:rsidRPr="0040543C">
        <w:rPr>
          <w:rStyle w:val="FontStyle12"/>
          <w:sz w:val="28"/>
          <w:szCs w:val="28"/>
        </w:rPr>
        <w:t>гея</w:t>
      </w:r>
      <w:proofErr w:type="spellEnd"/>
      <w:r w:rsidRPr="0040543C">
        <w:rPr>
          <w:rStyle w:val="FontStyle12"/>
          <w:sz w:val="28"/>
          <w:szCs w:val="28"/>
        </w:rPr>
        <w:t xml:space="preserve"> плавательный бассейн на 25 метров, 2 спортивных зала, уличные тренажеры, универсальная спортивная площадка. </w:t>
      </w:r>
      <w:proofErr w:type="gramStart"/>
      <w:r w:rsidRPr="0040543C">
        <w:rPr>
          <w:rStyle w:val="FontStyle12"/>
          <w:sz w:val="28"/>
          <w:szCs w:val="28"/>
        </w:rPr>
        <w:t>Сданы в эксплуатацию новые спортивные объекты: футбольное ноле и уличные тренажеры, универсальная спортивная площадка, два спортивных зала в МБОУ «Лицей»: сезонный каток в Преображенском парке; уличные тренажеры в Черногорском парке: плаза (</w:t>
      </w:r>
      <w:proofErr w:type="spellStart"/>
      <w:r w:rsidRPr="0040543C">
        <w:rPr>
          <w:rStyle w:val="FontStyle12"/>
          <w:sz w:val="28"/>
          <w:szCs w:val="28"/>
        </w:rPr>
        <w:t>скейтларк</w:t>
      </w:r>
      <w:proofErr w:type="spellEnd"/>
      <w:r w:rsidRPr="0040543C">
        <w:rPr>
          <w:rStyle w:val="FontStyle12"/>
          <w:sz w:val="28"/>
          <w:szCs w:val="28"/>
        </w:rPr>
        <w:t>) в Комсомольском парке: универсальные спортивные площадки по адресам: ул. Итыгнна.2: ул. К.Перекрещспко.7: ул. Совстекая.47.</w:t>
      </w:r>
      <w:proofErr w:type="gramEnd"/>
      <w:r w:rsidRPr="0040543C">
        <w:rPr>
          <w:rStyle w:val="FontStyle12"/>
          <w:sz w:val="28"/>
          <w:szCs w:val="28"/>
        </w:rPr>
        <w:t xml:space="preserve"> Введение в эксплуатацию многих спортивных объектов стало возможным благодаря участию </w:t>
      </w:r>
      <w:r w:rsidRPr="0040543C">
        <w:rPr>
          <w:rStyle w:val="FontStyle12"/>
          <w:b/>
          <w:bCs/>
          <w:sz w:val="28"/>
          <w:szCs w:val="28"/>
        </w:rPr>
        <w:t xml:space="preserve">I! </w:t>
      </w:r>
      <w:r w:rsidRPr="0040543C">
        <w:rPr>
          <w:rStyle w:val="FontStyle12"/>
          <w:sz w:val="28"/>
          <w:szCs w:val="28"/>
        </w:rPr>
        <w:t xml:space="preserve">национальных проектах (федеральный </w:t>
      </w:r>
      <w:r w:rsidRPr="0040543C">
        <w:rPr>
          <w:rStyle w:val="FontStyle12"/>
          <w:sz w:val="28"/>
          <w:szCs w:val="28"/>
        </w:rPr>
        <w:lastRenderedPageBreak/>
        <w:t>проект «Спорт норма жизни» и др.) и значительно расширило возможности города в проведении спортивно-массовых мероприятий.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Целенаправленная работа по развитию спортивной инфраструктуры г</w:t>
      </w:r>
      <w:proofErr w:type="gramStart"/>
      <w:r w:rsidRPr="0040543C">
        <w:rPr>
          <w:rStyle w:val="FontStyle12"/>
          <w:sz w:val="28"/>
          <w:szCs w:val="28"/>
        </w:rPr>
        <w:t>.А</w:t>
      </w:r>
      <w:proofErr w:type="gramEnd"/>
      <w:r w:rsidRPr="0040543C">
        <w:rPr>
          <w:rStyle w:val="FontStyle12"/>
          <w:sz w:val="28"/>
          <w:szCs w:val="28"/>
        </w:rPr>
        <w:t>бакана получила широкое общественное и профессиональное признание: в 2019 г. главный спортивный объект города - Спорткомплекс «Абакан» - стал победителем II Национального конкурса «Арена» в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  <w:sectPr w:rsidR="005E4F3A" w:rsidRPr="0040543C" w:rsidSect="0040543C">
          <w:pgSz w:w="11909" w:h="16834"/>
          <w:pgMar w:top="567" w:right="567" w:bottom="567" w:left="567" w:header="720" w:footer="720" w:gutter="0"/>
          <w:cols w:space="720"/>
          <w:noEndnote/>
        </w:sectPr>
      </w:pP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lastRenderedPageBreak/>
        <w:t xml:space="preserve">номинации «Многофункциональные спортивные комплексы» - самой многочисленно!! по составу участников (при отборе было допущено 77 спортивных сооружений страны). В декабре 2019 года было примято решение о присвоении спорткомплексу имени Николая </w:t>
      </w:r>
      <w:proofErr w:type="spellStart"/>
      <w:r w:rsidRPr="0040543C">
        <w:rPr>
          <w:rStyle w:val="FontStyle12"/>
          <w:sz w:val="28"/>
          <w:szCs w:val="28"/>
        </w:rPr>
        <w:t>Гспрпхоипча</w:t>
      </w:r>
      <w:proofErr w:type="spellEnd"/>
      <w:r w:rsidRPr="0040543C">
        <w:rPr>
          <w:rStyle w:val="FontStyle12"/>
          <w:sz w:val="28"/>
          <w:szCs w:val="28"/>
        </w:rPr>
        <w:t xml:space="preserve"> </w:t>
      </w:r>
      <w:proofErr w:type="spellStart"/>
      <w:r w:rsidRPr="0040543C">
        <w:rPr>
          <w:rStyle w:val="FontStyle12"/>
          <w:sz w:val="28"/>
          <w:szCs w:val="28"/>
        </w:rPr>
        <w:t>Булакипа</w:t>
      </w:r>
      <w:proofErr w:type="spellEnd"/>
      <w:r w:rsidRPr="0040543C">
        <w:rPr>
          <w:rStyle w:val="FontStyle12"/>
          <w:sz w:val="28"/>
          <w:szCs w:val="28"/>
        </w:rPr>
        <w:t>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proofErr w:type="gramStart"/>
      <w:r w:rsidRPr="0040543C">
        <w:rPr>
          <w:rStyle w:val="FontStyle12"/>
          <w:sz w:val="28"/>
          <w:szCs w:val="28"/>
        </w:rPr>
        <w:t>Специалистам и Абакан в области физической культуры и спорта отмечен как перспективным отнят г Красноярска: система научно-методического и медико-биологического обеспечения организаций, реализующих программы спортивной подготовки.</w:t>
      </w:r>
      <w:proofErr w:type="gramEnd"/>
    </w:p>
    <w:p w:rsidR="005E4F3A" w:rsidRPr="0040543C" w:rsidRDefault="005E4F3A" w:rsidP="0040543C">
      <w:pPr>
        <w:pStyle w:val="Style10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 xml:space="preserve">В 2020 году необходимо продолжить работу по модернизации деятельности спортивных школ по спортивной подготовке, внедрению ВФСК «ГТО», развитию межведомственного, сетевого, кластерного подхода в деятельности учреждений сферы спорта. 11редетоит также осуществить масштабную </w:t>
      </w:r>
      <w:proofErr w:type="gramStart"/>
      <w:r w:rsidRPr="0040543C">
        <w:rPr>
          <w:rStyle w:val="FontStyle12"/>
          <w:sz w:val="28"/>
          <w:szCs w:val="28"/>
        </w:rPr>
        <w:t>работу</w:t>
      </w:r>
      <w:proofErr w:type="gramEnd"/>
      <w:r w:rsidRPr="0040543C">
        <w:rPr>
          <w:rStyle w:val="FontStyle12"/>
          <w:sz w:val="28"/>
          <w:szCs w:val="28"/>
        </w:rPr>
        <w:t xml:space="preserve"> но стратегическому планированию развития физической культуры и спорта в г. Абакане на 2021 -2030 годы с учетом приоритетов и ресурсов, представленных в федеральном проекте «Спорт - норма жизни» национальною проекта «Демография».</w:t>
      </w:r>
    </w:p>
    <w:p w:rsidR="005E4F3A" w:rsidRPr="0040543C" w:rsidRDefault="005E4F3A" w:rsidP="0040543C">
      <w:pPr>
        <w:pStyle w:val="Style2"/>
        <w:widowControl/>
        <w:contextualSpacing/>
        <w:jc w:val="both"/>
        <w:rPr>
          <w:rStyle w:val="FontStyle12"/>
          <w:sz w:val="28"/>
          <w:szCs w:val="28"/>
        </w:rPr>
      </w:pPr>
      <w:r w:rsidRPr="0040543C">
        <w:rPr>
          <w:rStyle w:val="FontStyle12"/>
          <w:sz w:val="28"/>
          <w:szCs w:val="28"/>
        </w:rPr>
        <w:t>Для обсуждения на мероприятиях АСДГ по обмену опытом предлагаем обсудить актуальный вопрос: опыт участия в национальных проектах. Эта же тема может быть включена в образовательную программу курсов повышения квалификации (учебных курсов для муниципальных служащих) специалистов в области физической культуры и спорта,</w:t>
      </w:r>
    </w:p>
    <w:sectPr w:rsidR="005E4F3A" w:rsidRPr="0040543C" w:rsidSect="0040543C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8E" w:rsidRDefault="0044608E">
      <w:r>
        <w:separator/>
      </w:r>
    </w:p>
  </w:endnote>
  <w:endnote w:type="continuationSeparator" w:id="0">
    <w:p w:rsidR="0044608E" w:rsidRDefault="00446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8E" w:rsidRDefault="0044608E">
      <w:r>
        <w:separator/>
      </w:r>
    </w:p>
  </w:footnote>
  <w:footnote w:type="continuationSeparator" w:id="0">
    <w:p w:rsidR="0044608E" w:rsidRDefault="00446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F3A"/>
    <w:rsid w:val="0040543C"/>
    <w:rsid w:val="0044608E"/>
    <w:rsid w:val="005E4F3A"/>
    <w:rsid w:val="00955E6C"/>
    <w:rsid w:val="00B1379F"/>
    <w:rsid w:val="00C377EA"/>
    <w:rsid w:val="00D6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1">
    <w:name w:val="Font Style31"/>
    <w:basedOn w:val="a0"/>
    <w:uiPriority w:val="99"/>
    <w:rPr>
      <w:rFonts w:ascii="Lucida Sans Unicode" w:hAnsi="Lucida Sans Unicode" w:cs="Lucida Sans Unicode"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33">
    <w:name w:val="Font Style33"/>
    <w:basedOn w:val="a0"/>
    <w:uiPriority w:val="99"/>
    <w:rPr>
      <w:rFonts w:ascii="Franklin Gothic Demi" w:hAnsi="Franklin Gothic Demi" w:cs="Franklin Gothic Demi"/>
      <w:b/>
      <w:bCs/>
      <w:color w:val="000000"/>
      <w:sz w:val="12"/>
      <w:szCs w:val="12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35">
    <w:name w:val="Font Style35"/>
    <w:basedOn w:val="a0"/>
    <w:uiPriority w:val="99"/>
    <w:rPr>
      <w:rFonts w:ascii="Lucida Sans Unicode" w:hAnsi="Lucida Sans Unicode" w:cs="Lucida Sans Unicode"/>
      <w:b/>
      <w:bCs/>
      <w:color w:val="000000"/>
      <w:sz w:val="12"/>
      <w:szCs w:val="12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color w:val="000000"/>
      <w:spacing w:val="-10"/>
      <w:sz w:val="24"/>
      <w:szCs w:val="24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FontStyle12">
    <w:name w:val="Font Style12"/>
    <w:basedOn w:val="a0"/>
    <w:uiPriority w:val="99"/>
    <w:rsid w:val="0040543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6537</Words>
  <Characters>37264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2020-04-18T09:08:00Z</dcterms:created>
  <dcterms:modified xsi:type="dcterms:W3CDTF">2020-04-18T10:04:00Z</dcterms:modified>
</cp:coreProperties>
</file>