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1B89" w:rsidRDefault="009A1B89" w:rsidP="009A1B89">
      <w:pPr>
        <w:pStyle w:val="Style3"/>
        <w:widowControl/>
        <w:jc w:val="both"/>
        <w:rPr>
          <w:rStyle w:val="FontStyle30"/>
          <w:i w:val="0"/>
          <w:sz w:val="28"/>
          <w:szCs w:val="28"/>
        </w:rPr>
      </w:pPr>
      <w:r w:rsidRPr="009A1B89">
        <w:rPr>
          <w:rStyle w:val="FontStyle30"/>
          <w:i w:val="0"/>
          <w:sz w:val="28"/>
          <w:szCs w:val="28"/>
        </w:rPr>
        <w:t>ИРКУТСК</w:t>
      </w:r>
    </w:p>
    <w:p w:rsidR="00000000" w:rsidRPr="009A1B89" w:rsidRDefault="009970A4" w:rsidP="009A1B89">
      <w:pPr>
        <w:pStyle w:val="Style2"/>
        <w:widowControl/>
        <w:jc w:val="both"/>
        <w:rPr>
          <w:rStyle w:val="FontStyle29"/>
          <w:sz w:val="28"/>
          <w:szCs w:val="28"/>
        </w:rPr>
      </w:pPr>
      <w:r w:rsidRPr="009A1B89">
        <w:rPr>
          <w:rStyle w:val="FontStyle29"/>
          <w:sz w:val="28"/>
          <w:szCs w:val="28"/>
        </w:rPr>
        <w:t>Система дошкольного образования города Иркутска продолжает обновляться и динамично развиваться. В 2019 году в городе Иркутске функционировали 132 муниципальные дошкольные образовательные организации города Иркутска (далее - МДОО),</w:t>
      </w:r>
      <w:r w:rsidRPr="009A1B89">
        <w:rPr>
          <w:rStyle w:val="FontStyle29"/>
          <w:sz w:val="28"/>
          <w:szCs w:val="28"/>
        </w:rPr>
        <w:t xml:space="preserve"> что на 1 больше, чем в 2018 году.</w:t>
      </w:r>
      <w:r w:rsid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>На конец</w:t>
      </w:r>
      <w:proofErr w:type="gramEnd"/>
      <w:r w:rsidRPr="009A1B89">
        <w:rPr>
          <w:rStyle w:val="FontStyle29"/>
          <w:sz w:val="28"/>
          <w:szCs w:val="28"/>
        </w:rPr>
        <w:t xml:space="preserve"> 2019 года по сравнению с 2018 годом увеличился контингент воспитанников дошкольных образовательных организаций на 447 детей и составил 41 233 ребенка.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Обеспечение доступности дошкольным образованием остается акту</w:t>
      </w:r>
      <w:r w:rsidRPr="009A1B89">
        <w:rPr>
          <w:rStyle w:val="FontStyle29"/>
          <w:sz w:val="28"/>
          <w:szCs w:val="28"/>
        </w:rPr>
        <w:t>альным для города Иркутска.</w:t>
      </w:r>
      <w:r w:rsid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>По состоянию на 31 декабря 2019 года на учете для предоставления места в детском саду состояло 19 068 детей в возрасте от 0 до 7 лет, из них в возрасте от 0 до 3 - 18 275 детей (до 1 года - 6 222, от 1 до 1,5 лет - 4 117, от 1,5</w:t>
      </w:r>
      <w:r w:rsidRPr="009A1B89">
        <w:rPr>
          <w:rStyle w:val="FontStyle29"/>
          <w:sz w:val="28"/>
          <w:szCs w:val="28"/>
        </w:rPr>
        <w:t xml:space="preserve"> до 2 лет - 3 590, от 2 до 3</w:t>
      </w:r>
      <w:proofErr w:type="gramEnd"/>
      <w:r w:rsidRPr="009A1B89">
        <w:rPr>
          <w:rStyle w:val="FontStyle29"/>
          <w:sz w:val="28"/>
          <w:szCs w:val="28"/>
        </w:rPr>
        <w:t xml:space="preserve"> лет - 4 346), в возрасте от 3 до 7 лет - 793 ребенка. Из общего числа детей потребность в предоставлении места испытывают 4 915 детей в возрасте от полутора лет.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Высокая потребность в предоставлении места </w:t>
      </w:r>
      <w:r w:rsidRPr="009A1B89">
        <w:rPr>
          <w:rStyle w:val="FontStyle29"/>
          <w:sz w:val="28"/>
          <w:szCs w:val="28"/>
        </w:rPr>
        <w:t>в дошкольной образовательной организации обусловлена не только увеличением рождаемости по данным статистики, но и миграцией населения (массовое прибытие в областной центр). Кроме того, услуги дошкольного образования в городе Иркутске получают не только дет</w:t>
      </w:r>
      <w:r w:rsidRPr="009A1B89">
        <w:rPr>
          <w:rStyle w:val="FontStyle29"/>
          <w:sz w:val="28"/>
          <w:szCs w:val="28"/>
        </w:rPr>
        <w:t>и, зарегистрированные в городе Иркутске, но и дети, зарегистрированные в других муниципальных образованиях Иркутской области.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Доступность услуг дошкольного образования для детей в возрасте от трех до семи лет, состоящих на учете по городу Иркутску, в 2019 </w:t>
      </w:r>
      <w:r w:rsidRPr="009A1B89">
        <w:rPr>
          <w:rStyle w:val="FontStyle29"/>
          <w:sz w:val="28"/>
          <w:szCs w:val="28"/>
        </w:rPr>
        <w:t>году составлял 99,8 %, что на 1,57 % больше показателя по Сибирскому Федеральному округу и на 0,75 % больше показателя Российской Федерации.</w:t>
      </w:r>
      <w:r w:rsid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>С целью реализации на территории города Иркутска национального проекта «Демография», предусмотренного Указом Презид</w:t>
      </w:r>
      <w:r w:rsidRPr="009A1B89">
        <w:rPr>
          <w:rStyle w:val="FontStyle29"/>
          <w:sz w:val="28"/>
          <w:szCs w:val="28"/>
        </w:rPr>
        <w:t>ента Российской Федерации от 7 мая 2018 года № 204 «О национальных целях и стратегических задачах развития Российской Федерации на период до 2024 года» разработан муниципальный проект «Создание условий обеспечения доступности дошкольного образования для де</w:t>
      </w:r>
      <w:r w:rsidRPr="009A1B89">
        <w:rPr>
          <w:rStyle w:val="FontStyle29"/>
          <w:sz w:val="28"/>
          <w:szCs w:val="28"/>
        </w:rPr>
        <w:t>тей в возрасте до трех лет», согласно которому определена цель по увеличению доступности услуг дошкольного</w:t>
      </w:r>
      <w:proofErr w:type="gramEnd"/>
      <w:r w:rsidRPr="009A1B89">
        <w:rPr>
          <w:rStyle w:val="FontStyle29"/>
          <w:sz w:val="28"/>
          <w:szCs w:val="28"/>
        </w:rPr>
        <w:t xml:space="preserve"> образования для детей в возрасте до трех лет.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Для решения данной проблемы предусмотрены меры по созданию дополнительных мест в МДОО. В 2019 году в го</w:t>
      </w:r>
      <w:r w:rsidRPr="009A1B89">
        <w:rPr>
          <w:rStyle w:val="FontStyle29"/>
          <w:sz w:val="28"/>
          <w:szCs w:val="28"/>
        </w:rPr>
        <w:t>роде Иркутске введены в эксплуатацию 4 здания МДОО на 920 проектных мест: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МДОО № 1 по ул. Ярославского, 296 (350 мест);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новое здание МДОО № 132 по ул. Касаткина, 3(110 мест);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новое здание МДОО № 102 по ул. Академика Бурденко, 2/1 (110 мест).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МДОО №</w:t>
      </w:r>
      <w:r w:rsidRPr="009A1B89">
        <w:rPr>
          <w:rStyle w:val="FontStyle29"/>
          <w:sz w:val="28"/>
          <w:szCs w:val="28"/>
        </w:rPr>
        <w:t xml:space="preserve"> 7 по ул. </w:t>
      </w:r>
      <w:proofErr w:type="gramStart"/>
      <w:r w:rsidRPr="009A1B89">
        <w:rPr>
          <w:rStyle w:val="FontStyle29"/>
          <w:sz w:val="28"/>
          <w:szCs w:val="28"/>
        </w:rPr>
        <w:t>Зимняя</w:t>
      </w:r>
      <w:proofErr w:type="gramEnd"/>
      <w:r w:rsidRPr="009A1B89">
        <w:rPr>
          <w:rStyle w:val="FontStyle29"/>
          <w:sz w:val="28"/>
          <w:szCs w:val="28"/>
        </w:rPr>
        <w:t>, 26 (350 мест).</w:t>
      </w:r>
      <w:r w:rsid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>В целях увеличения доступности услуг дошкольного образования для детей в возрасте от полутора до трех лет будет продолжена работа по следующим направлениям: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реализация мероприятий по строительству объектов дошкольного обр</w:t>
      </w:r>
      <w:r w:rsidRPr="009A1B89">
        <w:rPr>
          <w:rStyle w:val="FontStyle29"/>
          <w:sz w:val="28"/>
          <w:szCs w:val="28"/>
        </w:rPr>
        <w:t xml:space="preserve">азования на территории города Иркутска (2020 - 2024 годы запланировано строительство новых детских садов на 900 проектных мест: ул. Сосновая (350 мест), </w:t>
      </w:r>
      <w:proofErr w:type="spellStart"/>
      <w:r w:rsidRPr="009A1B89">
        <w:rPr>
          <w:rStyle w:val="FontStyle29"/>
          <w:sz w:val="28"/>
          <w:szCs w:val="28"/>
        </w:rPr>
        <w:t>мкр</w:t>
      </w:r>
      <w:proofErr w:type="spellEnd"/>
      <w:r w:rsidRPr="009A1B89">
        <w:rPr>
          <w:rStyle w:val="FontStyle29"/>
          <w:sz w:val="28"/>
          <w:szCs w:val="28"/>
        </w:rPr>
        <w:t>.</w:t>
      </w:r>
      <w:proofErr w:type="gramEnd"/>
      <w:r w:rsidRP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>Лесной</w:t>
      </w:r>
      <w:proofErr w:type="gramEnd"/>
      <w:r w:rsidRPr="009A1B89">
        <w:rPr>
          <w:rStyle w:val="FontStyle29"/>
          <w:sz w:val="28"/>
          <w:szCs w:val="28"/>
        </w:rPr>
        <w:t xml:space="preserve"> (220 мест), 6 </w:t>
      </w:r>
      <w:proofErr w:type="spellStart"/>
      <w:r w:rsidRPr="009A1B89">
        <w:rPr>
          <w:rStyle w:val="FontStyle29"/>
          <w:sz w:val="28"/>
          <w:szCs w:val="28"/>
        </w:rPr>
        <w:t>мкр</w:t>
      </w:r>
      <w:proofErr w:type="spellEnd"/>
      <w:r w:rsidRPr="009A1B89">
        <w:rPr>
          <w:rStyle w:val="FontStyle29"/>
          <w:sz w:val="28"/>
          <w:szCs w:val="28"/>
        </w:rPr>
        <w:t xml:space="preserve">. Ново-Ленино (220 мест), ул. </w:t>
      </w:r>
      <w:proofErr w:type="gramStart"/>
      <w:r w:rsidRPr="009A1B89">
        <w:rPr>
          <w:rStyle w:val="FontStyle29"/>
          <w:sz w:val="28"/>
          <w:szCs w:val="28"/>
        </w:rPr>
        <w:t>Российская</w:t>
      </w:r>
      <w:proofErr w:type="gramEnd"/>
      <w:r w:rsidRPr="009A1B89">
        <w:rPr>
          <w:rStyle w:val="FontStyle29"/>
          <w:sz w:val="28"/>
          <w:szCs w:val="28"/>
        </w:rPr>
        <w:t xml:space="preserve"> (110 мест);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открытие групп для </w:t>
      </w:r>
      <w:r w:rsidRPr="009A1B89">
        <w:rPr>
          <w:rStyle w:val="FontStyle29"/>
          <w:sz w:val="28"/>
          <w:szCs w:val="28"/>
        </w:rPr>
        <w:t>детей в возрасте от полутора до трех лет в образовательных организациях, реализующих программы дошкольного образования, за счет эффективного использования помещений.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Реализация права на дошкольное образование детей с ограниченными возможностями здоровья (д</w:t>
      </w:r>
      <w:r w:rsidRPr="009A1B89">
        <w:rPr>
          <w:rStyle w:val="FontStyle29"/>
          <w:sz w:val="28"/>
          <w:szCs w:val="28"/>
        </w:rPr>
        <w:t xml:space="preserve">алее </w:t>
      </w:r>
      <w:r w:rsidRPr="009A1B89">
        <w:rPr>
          <w:rStyle w:val="FontStyle29"/>
          <w:color w:val="00253F"/>
          <w:sz w:val="28"/>
          <w:szCs w:val="28"/>
        </w:rPr>
        <w:t xml:space="preserve">- </w:t>
      </w:r>
      <w:r w:rsidRPr="009A1B89">
        <w:rPr>
          <w:rStyle w:val="FontStyle29"/>
          <w:sz w:val="28"/>
          <w:szCs w:val="28"/>
        </w:rPr>
        <w:t>ОВЗ) и инвалидов является одним из значимых аспектов в муниципальной системе образования города Иркутска. В 99 МДОО для детей с ОВЗ и детей-инвалидов создана специальная коррекционно-развивающая среда, обеспечивающая адекватные условия и равные с об</w:t>
      </w:r>
      <w:r w:rsidRPr="009A1B89">
        <w:rPr>
          <w:rStyle w:val="FontStyle29"/>
          <w:sz w:val="28"/>
          <w:szCs w:val="28"/>
        </w:rPr>
        <w:t>ычными детьми возможности для получения образования, коррекцию нарушений развития, социальную адаптацию. Данные МДОО осуществляют реализацию образовательной деятельности по адаптированным образовательным программам, которые посещают 4092 детей с ОВЗ, из ни</w:t>
      </w:r>
      <w:r w:rsidRPr="009A1B89">
        <w:rPr>
          <w:rStyle w:val="FontStyle29"/>
          <w:sz w:val="28"/>
          <w:szCs w:val="28"/>
        </w:rPr>
        <w:t xml:space="preserve">х 304 дети - </w:t>
      </w:r>
      <w:r w:rsidRPr="009A1B89">
        <w:rPr>
          <w:rStyle w:val="FontStyle29"/>
          <w:sz w:val="28"/>
          <w:szCs w:val="28"/>
        </w:rPr>
        <w:lastRenderedPageBreak/>
        <w:t xml:space="preserve">инвалиды. Кроме того, </w:t>
      </w:r>
      <w:r w:rsidRPr="009A1B89">
        <w:rPr>
          <w:rStyle w:val="FontStyle29"/>
          <w:spacing w:val="20"/>
          <w:sz w:val="28"/>
          <w:szCs w:val="28"/>
        </w:rPr>
        <w:t>ПО</w:t>
      </w:r>
      <w:r w:rsidRPr="009A1B89">
        <w:rPr>
          <w:rStyle w:val="FontStyle29"/>
          <w:sz w:val="28"/>
          <w:szCs w:val="28"/>
        </w:rPr>
        <w:t xml:space="preserve"> детей-инвалидов обучаются по образовательной программе дошкольного образования в группах</w:t>
      </w:r>
      <w:r w:rsidR="009A1B89">
        <w:rPr>
          <w:rStyle w:val="FontStyle29"/>
          <w:sz w:val="28"/>
          <w:szCs w:val="28"/>
        </w:rPr>
        <w:t xml:space="preserve"> </w:t>
      </w:r>
      <w:proofErr w:type="spellStart"/>
      <w:r w:rsidRPr="009A1B89">
        <w:rPr>
          <w:rStyle w:val="FontStyle29"/>
          <w:sz w:val="28"/>
          <w:szCs w:val="28"/>
        </w:rPr>
        <w:t>общеразвивающей</w:t>
      </w:r>
      <w:proofErr w:type="spellEnd"/>
      <w:r w:rsidRPr="009A1B89">
        <w:rPr>
          <w:rStyle w:val="FontStyle29"/>
          <w:sz w:val="28"/>
          <w:szCs w:val="28"/>
        </w:rPr>
        <w:t xml:space="preserve"> направленности с учетом рекомендаций индивидуальной программы реабилитации ребенка-инвалида.</w:t>
      </w:r>
      <w:r w:rsid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>Показатель доступности дошкольного образования для нуждающихся детей с ОВЗ и детей-инвалидов, состоящих на регистрационном учете, по городу Иркутску по-прежнему составляет 100%.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Квалифицированная коррекция недостатков в физическом и (или) психическом разв</w:t>
      </w:r>
      <w:r w:rsidRPr="009A1B89">
        <w:rPr>
          <w:rStyle w:val="FontStyle29"/>
          <w:sz w:val="28"/>
          <w:szCs w:val="28"/>
        </w:rPr>
        <w:t>итии осуществляется в 219 группах компенсирующей направленности, из них: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65 детей, в том числе 62 ребенка-инвалида посещают 4 группы для детей с нарушением слуха в МДОО № 162;</w:t>
      </w:r>
      <w:proofErr w:type="gramEnd"/>
      <w:r w:rsid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>3 486 детей, в том числе 21 ребенок - инвалид посещают 179 групп для детей с</w:t>
      </w:r>
      <w:r w:rsidRPr="009A1B89">
        <w:rPr>
          <w:rStyle w:val="FontStyle29"/>
          <w:sz w:val="28"/>
          <w:szCs w:val="28"/>
        </w:rPr>
        <w:t xml:space="preserve"> тяжелым нарушением речи в 96 МДОО;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21 ребенок, в том числе 4 ребенка - инвалида посещают 2 группы для детей с нарушением зрения в МДОО № 89;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98 детей, в том числе 78 детей - инвалиды, посещают 8 групп для детей с нарушением интеллекта в 6 МДОО;</w:t>
      </w:r>
      <w:proofErr w:type="gramEnd"/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330 </w:t>
      </w:r>
      <w:r w:rsidRPr="009A1B89">
        <w:rPr>
          <w:rStyle w:val="FontStyle29"/>
          <w:sz w:val="28"/>
          <w:szCs w:val="28"/>
        </w:rPr>
        <w:t>детей, в том числе 75 детей - инвалиды посещают 23 группы для детей с задержкой психического развития в 10 МДОО;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38 детей, в том числе 18 </w:t>
      </w:r>
      <w:proofErr w:type="spellStart"/>
      <w:proofErr w:type="gramStart"/>
      <w:r w:rsidRPr="009A1B89">
        <w:rPr>
          <w:rStyle w:val="FontStyle29"/>
          <w:sz w:val="28"/>
          <w:szCs w:val="28"/>
        </w:rPr>
        <w:t>ребенка-инвалиды</w:t>
      </w:r>
      <w:proofErr w:type="spellEnd"/>
      <w:proofErr w:type="gramEnd"/>
      <w:r w:rsidRPr="009A1B89">
        <w:rPr>
          <w:rStyle w:val="FontStyle29"/>
          <w:sz w:val="28"/>
          <w:szCs w:val="28"/>
        </w:rPr>
        <w:t>, посещают 3 группы для детей с нарушением опорно-двигательного аппарата в МДОУ № 18.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Вместе с тем, </w:t>
      </w:r>
      <w:r w:rsidRPr="009A1B89">
        <w:rPr>
          <w:rStyle w:val="FontStyle29"/>
          <w:sz w:val="28"/>
          <w:szCs w:val="28"/>
        </w:rPr>
        <w:t>43 ребенка посещают 2 группы оздоровительной направленности в МДОО № 43.</w:t>
      </w:r>
      <w:r w:rsid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 xml:space="preserve">Кроме того, с целью психологического сопровождения и специальной педагогической помощи родителям (законным представителям), воспитывающим детей с выраженными нарушениями и проблемами </w:t>
      </w:r>
      <w:r w:rsidRPr="009A1B89">
        <w:rPr>
          <w:rStyle w:val="FontStyle29"/>
          <w:sz w:val="28"/>
          <w:szCs w:val="28"/>
        </w:rPr>
        <w:t>развития на базе 6 МДОО: № 51 «Рябинка» (ул. Ярославского, 25 б), № 122 (ул. Мира, 108), № 18 (ул. Байкальская, 199), МДОО № 100 (</w:t>
      </w:r>
      <w:proofErr w:type="spellStart"/>
      <w:r w:rsidRPr="009A1B89">
        <w:rPr>
          <w:rStyle w:val="FontStyle29"/>
          <w:sz w:val="28"/>
          <w:szCs w:val="28"/>
        </w:rPr>
        <w:t>мкр</w:t>
      </w:r>
      <w:proofErr w:type="spellEnd"/>
      <w:r w:rsidRPr="009A1B89">
        <w:rPr>
          <w:rStyle w:val="FontStyle29"/>
          <w:sz w:val="28"/>
          <w:szCs w:val="28"/>
        </w:rPr>
        <w:t>.</w:t>
      </w:r>
      <w:proofErr w:type="gramEnd"/>
      <w:r w:rsidRPr="009A1B89">
        <w:rPr>
          <w:rStyle w:val="FontStyle29"/>
          <w:sz w:val="28"/>
          <w:szCs w:val="28"/>
        </w:rPr>
        <w:t xml:space="preserve"> </w:t>
      </w:r>
      <w:proofErr w:type="spellStart"/>
      <w:r w:rsidRPr="009A1B89">
        <w:rPr>
          <w:rStyle w:val="FontStyle29"/>
          <w:sz w:val="28"/>
          <w:szCs w:val="28"/>
        </w:rPr>
        <w:t>Топкинский</w:t>
      </w:r>
      <w:proofErr w:type="spellEnd"/>
      <w:r w:rsidRPr="009A1B89">
        <w:rPr>
          <w:rStyle w:val="FontStyle29"/>
          <w:sz w:val="28"/>
          <w:szCs w:val="28"/>
        </w:rPr>
        <w:t xml:space="preserve">, 62), МДОО № 77 (ул. </w:t>
      </w:r>
      <w:proofErr w:type="spellStart"/>
      <w:r w:rsidRPr="009A1B89">
        <w:rPr>
          <w:rStyle w:val="FontStyle29"/>
          <w:sz w:val="28"/>
          <w:szCs w:val="28"/>
        </w:rPr>
        <w:t>Рябикова</w:t>
      </w:r>
      <w:proofErr w:type="spellEnd"/>
      <w:r w:rsidRPr="009A1B89">
        <w:rPr>
          <w:rStyle w:val="FontStyle29"/>
          <w:sz w:val="28"/>
          <w:szCs w:val="28"/>
        </w:rPr>
        <w:t xml:space="preserve">, 4 Б), № 132 (ул. Касаткина, 3) функционируют 6 консультационных пунктов и 6 </w:t>
      </w:r>
      <w:proofErr w:type="spellStart"/>
      <w:r w:rsidRPr="009A1B89">
        <w:rPr>
          <w:rStyle w:val="FontStyle29"/>
          <w:sz w:val="28"/>
          <w:szCs w:val="28"/>
        </w:rPr>
        <w:t>лек</w:t>
      </w:r>
      <w:r w:rsidRPr="009A1B89">
        <w:rPr>
          <w:rStyle w:val="FontStyle29"/>
          <w:sz w:val="28"/>
          <w:szCs w:val="28"/>
        </w:rPr>
        <w:t>отек</w:t>
      </w:r>
      <w:proofErr w:type="spellEnd"/>
      <w:r w:rsidRPr="009A1B89">
        <w:rPr>
          <w:rStyle w:val="FontStyle29"/>
          <w:sz w:val="28"/>
          <w:szCs w:val="28"/>
        </w:rPr>
        <w:t xml:space="preserve"> (12 групп), которые посещают 54 ребенка с ОВЗ, в том числе 46 детей - инвалиды. В 2018 году функционировали 2 </w:t>
      </w:r>
      <w:proofErr w:type="gramStart"/>
      <w:r w:rsidRPr="009A1B89">
        <w:rPr>
          <w:rStyle w:val="FontStyle29"/>
          <w:sz w:val="28"/>
          <w:szCs w:val="28"/>
        </w:rPr>
        <w:t>консультационных</w:t>
      </w:r>
      <w:proofErr w:type="gramEnd"/>
      <w:r w:rsidRPr="009A1B89">
        <w:rPr>
          <w:rStyle w:val="FontStyle29"/>
          <w:sz w:val="28"/>
          <w:szCs w:val="28"/>
        </w:rPr>
        <w:t xml:space="preserve"> пункта и 2 </w:t>
      </w:r>
      <w:proofErr w:type="spellStart"/>
      <w:r w:rsidRPr="009A1B89">
        <w:rPr>
          <w:rStyle w:val="FontStyle29"/>
          <w:sz w:val="28"/>
          <w:szCs w:val="28"/>
        </w:rPr>
        <w:t>лекотеки</w:t>
      </w:r>
      <w:proofErr w:type="spellEnd"/>
      <w:r w:rsidRPr="009A1B89">
        <w:rPr>
          <w:rStyle w:val="FontStyle29"/>
          <w:sz w:val="28"/>
          <w:szCs w:val="28"/>
        </w:rPr>
        <w:t>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Услугами консультационных пунктов охвачено 153 ребенка, в том числе детей в возрасте от рождения до тре</w:t>
      </w:r>
      <w:r w:rsidRPr="009A1B89">
        <w:rPr>
          <w:rStyle w:val="FontStyle29"/>
          <w:sz w:val="28"/>
          <w:szCs w:val="28"/>
        </w:rPr>
        <w:t>х лет - 14 детей (9,2 % от общего количества), детей в возрасте от трех до семи лет и старше - 139 (90,8 % от общего количества).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Общее количество оказанной в консультационных пунктах помощи родителям (законным представителям) несовершеннолетних обучающихс</w:t>
      </w:r>
      <w:r w:rsidRPr="009A1B89">
        <w:rPr>
          <w:rStyle w:val="FontStyle29"/>
          <w:sz w:val="28"/>
          <w:szCs w:val="28"/>
        </w:rPr>
        <w:t>я составило 192 единицы, в том числе: методическая - 9 (4,7 % от общего количества), психолого-педагогическая - 23 (12 % от общего количества), диагностическая - 96 (50 % от общего количества), консультативная помощь - 64 (33,3 % от общего количества).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Оди</w:t>
      </w:r>
      <w:r w:rsidRPr="009A1B89">
        <w:rPr>
          <w:rStyle w:val="FontStyle29"/>
          <w:sz w:val="28"/>
          <w:szCs w:val="28"/>
        </w:rPr>
        <w:t xml:space="preserve">н раз в два месяца во всех МДОО проводятся единые консультационные дни для родителей (законных представителей) с целью оказания профессиональной методической, психолого-педагогической, диагностической, </w:t>
      </w:r>
      <w:r w:rsidRPr="009A1B89">
        <w:rPr>
          <w:rStyle w:val="FontStyle28"/>
          <w:sz w:val="28"/>
          <w:szCs w:val="28"/>
        </w:rPr>
        <w:t xml:space="preserve">консультативной </w:t>
      </w:r>
      <w:r w:rsidRPr="009A1B89">
        <w:rPr>
          <w:rStyle w:val="FontStyle29"/>
          <w:sz w:val="28"/>
          <w:szCs w:val="28"/>
        </w:rPr>
        <w:t>помощи родителям (законным представите</w:t>
      </w:r>
      <w:r w:rsidRPr="009A1B89">
        <w:rPr>
          <w:rStyle w:val="FontStyle29"/>
          <w:sz w:val="28"/>
          <w:szCs w:val="28"/>
        </w:rPr>
        <w:t>лям) в вопросах воспитания и развития детей, посещающих дошкольные организации, а также не охваченных дошкольным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образованием. Специалисты консультируют по вопросам воспитания и развития детей, а также проводят по желанию родителей (за</w:t>
      </w:r>
      <w:r w:rsidRPr="009A1B89">
        <w:rPr>
          <w:rStyle w:val="FontStyle29"/>
          <w:sz w:val="28"/>
          <w:szCs w:val="28"/>
        </w:rPr>
        <w:t>конных представителей) диагностику развития ребенка.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Около 3 ООО родителей (законных представителей) обратились за консультационной помощью.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В соответствии с постановлением администрации города Иркутска от 23 ноября 2009 года № 031-06-3702/9 «Об утверждени</w:t>
      </w:r>
      <w:r w:rsidRPr="009A1B89">
        <w:rPr>
          <w:rStyle w:val="FontStyle29"/>
          <w:sz w:val="28"/>
          <w:szCs w:val="28"/>
        </w:rPr>
        <w:t>и Положения о порядке взимания платы за присмотр и уход за детьми в муниципальных дошкольных образовательных учреждениях города Иркутска» родители (законные представители) детей - инвалидов освобождены от оплаты за присмотр и уход за детьми в МДОО.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Кроме т</w:t>
      </w:r>
      <w:r w:rsidRPr="009A1B89">
        <w:rPr>
          <w:rStyle w:val="FontStyle29"/>
          <w:sz w:val="28"/>
          <w:szCs w:val="28"/>
        </w:rPr>
        <w:t xml:space="preserve">ого, в городе Иркутске функционирует территориальная постоянно действующая </w:t>
      </w:r>
      <w:proofErr w:type="spellStart"/>
      <w:r w:rsidRPr="009A1B89">
        <w:rPr>
          <w:rStyle w:val="FontStyle29"/>
          <w:sz w:val="28"/>
          <w:szCs w:val="28"/>
        </w:rPr>
        <w:t>медико-психолого-педагогическая</w:t>
      </w:r>
      <w:proofErr w:type="spellEnd"/>
      <w:r w:rsidRPr="009A1B89">
        <w:rPr>
          <w:rStyle w:val="FontStyle29"/>
          <w:sz w:val="28"/>
          <w:szCs w:val="28"/>
        </w:rPr>
        <w:t xml:space="preserve"> комиссия, которая осуществляет круглогодичное обследование детей в возрасте от 0 до 18 лет включительно и консультирование родителей (законных предст</w:t>
      </w:r>
      <w:r w:rsidRPr="009A1B89">
        <w:rPr>
          <w:rStyle w:val="FontStyle29"/>
          <w:sz w:val="28"/>
          <w:szCs w:val="28"/>
        </w:rPr>
        <w:t xml:space="preserve">авителей) по предварительной записи. А также для удобства родителей (законных представителей) с </w:t>
      </w:r>
      <w:r w:rsidRPr="009A1B89">
        <w:rPr>
          <w:rStyle w:val="FontStyle29"/>
          <w:sz w:val="28"/>
          <w:szCs w:val="28"/>
        </w:rPr>
        <w:lastRenderedPageBreak/>
        <w:t>января по июнь месяц ежегодно проводятся выездные обследования на базе образовательных организаций, что позволяет дошкольным образовательным организациям и школ</w:t>
      </w:r>
      <w:r w:rsidRPr="009A1B89">
        <w:rPr>
          <w:rStyle w:val="FontStyle29"/>
          <w:sz w:val="28"/>
          <w:szCs w:val="28"/>
        </w:rPr>
        <w:t>ам выстраивать программу по развитию и обучению ребенка в соответствии с его особенностями и возможностями.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Вместе с тем, в образовательных организациях города организована работа по реализации мероприятий индивидуальной программы реабилитации или </w:t>
      </w:r>
      <w:proofErr w:type="spellStart"/>
      <w:r w:rsidRPr="009A1B89">
        <w:rPr>
          <w:rStyle w:val="FontStyle29"/>
          <w:sz w:val="28"/>
          <w:szCs w:val="28"/>
        </w:rPr>
        <w:t>абилитац</w:t>
      </w:r>
      <w:r w:rsidRPr="009A1B89">
        <w:rPr>
          <w:rStyle w:val="FontStyle29"/>
          <w:sz w:val="28"/>
          <w:szCs w:val="28"/>
        </w:rPr>
        <w:t>ии</w:t>
      </w:r>
      <w:proofErr w:type="spellEnd"/>
      <w:r w:rsidRPr="009A1B89">
        <w:rPr>
          <w:rStyle w:val="FontStyle29"/>
          <w:sz w:val="28"/>
          <w:szCs w:val="28"/>
        </w:rPr>
        <w:t xml:space="preserve"> инвалида (ребенка - инвалида). Обеспечено исполнение мероприятий по реализации мероприятий индивидуальной программы реабилитации или </w:t>
      </w:r>
      <w:proofErr w:type="spellStart"/>
      <w:r w:rsidRPr="009A1B89">
        <w:rPr>
          <w:rStyle w:val="FontStyle29"/>
          <w:sz w:val="28"/>
          <w:szCs w:val="28"/>
        </w:rPr>
        <w:t>абилитации</w:t>
      </w:r>
      <w:proofErr w:type="spellEnd"/>
      <w:r w:rsidRPr="009A1B89">
        <w:rPr>
          <w:rStyle w:val="FontStyle29"/>
          <w:sz w:val="28"/>
          <w:szCs w:val="28"/>
        </w:rPr>
        <w:t xml:space="preserve"> ребенка-инвалида педагогическими работниками МДОО и школ.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Для повышения компетентности родителей (законных пр</w:t>
      </w:r>
      <w:r w:rsidRPr="009A1B89">
        <w:rPr>
          <w:rStyle w:val="FontStyle29"/>
          <w:sz w:val="28"/>
          <w:szCs w:val="28"/>
        </w:rPr>
        <w:t>едставителей) ежеквартально на базе 20 МДОО (№10, 31, 36, 41, 54, 55, 61, 75, 79, 82, 100, 124, 128, 136, 142, 150, 161, 157, 172, 179) совместно с Иркутским педагогическим институтом реализуется проект «Родительский открытый университет».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Дошкольные учреж</w:t>
      </w:r>
      <w:r w:rsidRPr="009A1B89">
        <w:rPr>
          <w:rStyle w:val="FontStyle29"/>
          <w:sz w:val="28"/>
          <w:szCs w:val="28"/>
        </w:rPr>
        <w:t>дения города Иркутска являются активными участниками инновационной деятельности разного уровня. 7 МДОО являются региональными тематическими инновационными комплексами; 12 МДОО - муниципальными ресурсными площадками; 8 МДОО - муниципальными методическими пл</w:t>
      </w:r>
      <w:r w:rsidRPr="009A1B89">
        <w:rPr>
          <w:rStyle w:val="FontStyle29"/>
          <w:sz w:val="28"/>
          <w:szCs w:val="28"/>
        </w:rPr>
        <w:t>ощадками. В 11 дошкольных организациях города Иркутска реализуется проект «</w:t>
      </w:r>
      <w:proofErr w:type="spellStart"/>
      <w:r w:rsidRPr="009A1B89">
        <w:rPr>
          <w:rStyle w:val="FontStyle29"/>
          <w:sz w:val="28"/>
          <w:szCs w:val="28"/>
        </w:rPr>
        <w:t>Лонгитюдное</w:t>
      </w:r>
      <w:proofErr w:type="spellEnd"/>
      <w:r w:rsidRPr="009A1B89">
        <w:rPr>
          <w:rStyle w:val="FontStyle29"/>
          <w:sz w:val="28"/>
          <w:szCs w:val="28"/>
        </w:rPr>
        <w:t xml:space="preserve"> исследование качества дошкольного образования» в рамках проекта </w:t>
      </w:r>
      <w:proofErr w:type="spellStart"/>
      <w:r w:rsidRPr="009A1B89">
        <w:rPr>
          <w:rStyle w:val="FontStyle29"/>
          <w:sz w:val="28"/>
          <w:szCs w:val="28"/>
        </w:rPr>
        <w:t>Рособрнадзора</w:t>
      </w:r>
      <w:proofErr w:type="spellEnd"/>
      <w:r w:rsidRPr="009A1B89">
        <w:rPr>
          <w:rStyle w:val="FontStyle29"/>
          <w:sz w:val="28"/>
          <w:szCs w:val="28"/>
        </w:rPr>
        <w:t xml:space="preserve"> «Национальное исследование качества образования» (НИКО) совместно с ФГБОУ </w:t>
      </w:r>
      <w:proofErr w:type="gramStart"/>
      <w:r w:rsidRPr="009A1B89">
        <w:rPr>
          <w:rStyle w:val="FontStyle29"/>
          <w:sz w:val="28"/>
          <w:szCs w:val="28"/>
        </w:rPr>
        <w:t>ВО</w:t>
      </w:r>
      <w:proofErr w:type="gramEnd"/>
      <w:r w:rsidRPr="009A1B89">
        <w:rPr>
          <w:rStyle w:val="FontStyle29"/>
          <w:sz w:val="28"/>
          <w:szCs w:val="28"/>
        </w:rPr>
        <w:t xml:space="preserve"> «Иркутский гос</w:t>
      </w:r>
      <w:r w:rsidRPr="009A1B89">
        <w:rPr>
          <w:rStyle w:val="FontStyle29"/>
          <w:sz w:val="28"/>
          <w:szCs w:val="28"/>
        </w:rPr>
        <w:t>ударственный университет». Исследования проводятся по одному из самых авторитетных международных современных инструментов оценки - шкале ЕСЕК8-К.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Ежегодно в городе Иркутске проводятся мероприятия по формированию рейтинга лучших образовательных организаций </w:t>
      </w:r>
      <w:r w:rsidRPr="009A1B89">
        <w:rPr>
          <w:rStyle w:val="FontStyle29"/>
          <w:sz w:val="28"/>
          <w:szCs w:val="28"/>
        </w:rPr>
        <w:t>города Иркутска и выявлению лучших педагогических работников образовательных организаций города Иркутска.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Кроме того, по итогам проведенного исследования по сбору и обобщению информации в рамках </w:t>
      </w:r>
      <w:proofErr w:type="gramStart"/>
      <w:r w:rsidRPr="009A1B89">
        <w:rPr>
          <w:rStyle w:val="FontStyle29"/>
          <w:sz w:val="28"/>
          <w:szCs w:val="28"/>
        </w:rPr>
        <w:t xml:space="preserve">проведения независимой оценки качества условий осуществления </w:t>
      </w:r>
      <w:r w:rsidRPr="009A1B89">
        <w:rPr>
          <w:rStyle w:val="FontStyle29"/>
          <w:sz w:val="28"/>
          <w:szCs w:val="28"/>
        </w:rPr>
        <w:t>образовательной деятельности</w:t>
      </w:r>
      <w:proofErr w:type="gramEnd"/>
      <w:r w:rsidRPr="009A1B89">
        <w:rPr>
          <w:rStyle w:val="FontStyle29"/>
          <w:sz w:val="28"/>
          <w:szCs w:val="28"/>
        </w:rPr>
        <w:t xml:space="preserve"> в МДОО за 2019 год значения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показателей по всем группам составляют от 76,9 до 100, что свидетельствует о высоком (отличном) уровне созданных условий в МДОО.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Дошкольные учреждения города активно принимают уч</w:t>
      </w:r>
      <w:r w:rsidRPr="009A1B89">
        <w:rPr>
          <w:rStyle w:val="FontStyle29"/>
          <w:sz w:val="28"/>
          <w:szCs w:val="28"/>
        </w:rPr>
        <w:t>астие в конкурсах различного уровня, которые способствуют развитию системы образования и оказывают эффективное влияние на процесс обучения и воспитания.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Проведенные конкурсы выявили много талантливых и безгранично любящих своё дело педагогов, работающих в </w:t>
      </w:r>
      <w:r w:rsidRPr="009A1B89">
        <w:rPr>
          <w:rStyle w:val="FontStyle29"/>
          <w:sz w:val="28"/>
          <w:szCs w:val="28"/>
        </w:rPr>
        <w:t>детских садах нашего города.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За прошедший учебный год в МДОО сделано немало для развития системы поддержки талантливых детей: был проведен целый комплекс различных конкурсов, соревнований и других мероприятий.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Воспитанники МДОО активно участвуют в конкурса</w:t>
      </w:r>
      <w:r w:rsidRPr="009A1B89">
        <w:rPr>
          <w:rStyle w:val="FontStyle29"/>
          <w:sz w:val="28"/>
          <w:szCs w:val="28"/>
        </w:rPr>
        <w:t>х разного уровня. Около 200 конкурсов, где воспитанники стали призерами и победителями. Стали традиционными такие конкурсы: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фестиваль «Звездочки Иркутска»;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чемпионат по футболу.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Большинство дошкольных учреждений города приоритетным направлением определ</w:t>
      </w:r>
      <w:r w:rsidRPr="009A1B89">
        <w:rPr>
          <w:rStyle w:val="FontStyle29"/>
          <w:sz w:val="28"/>
          <w:szCs w:val="28"/>
        </w:rPr>
        <w:t xml:space="preserve">или </w:t>
      </w:r>
      <w:proofErr w:type="spellStart"/>
      <w:r w:rsidRPr="009A1B89">
        <w:rPr>
          <w:rStyle w:val="FontStyle29"/>
          <w:sz w:val="28"/>
          <w:szCs w:val="28"/>
        </w:rPr>
        <w:t>здоровьесбережение</w:t>
      </w:r>
      <w:proofErr w:type="spellEnd"/>
      <w:r w:rsidRPr="009A1B89">
        <w:rPr>
          <w:rStyle w:val="FontStyle29"/>
          <w:sz w:val="28"/>
          <w:szCs w:val="28"/>
        </w:rPr>
        <w:t>. Для сохранения здоровья, физического развития и оздоровления воспитанников в дошкольных учреждениях создаются дополнительные материально-технические условия: оборудуются спортивные залы, бассейны, уголки двигательной активности в гр</w:t>
      </w:r>
      <w:r w:rsidRPr="009A1B89">
        <w:rPr>
          <w:rStyle w:val="FontStyle29"/>
          <w:sz w:val="28"/>
          <w:szCs w:val="28"/>
        </w:rPr>
        <w:t>уппах и спортивные площадки на улице. Организовано сбалансированное питание, ведется работа по профилактике простудных заболеваний.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В целях создания необходимых условий для укрепления </w:t>
      </w:r>
      <w:proofErr w:type="gramStart"/>
      <w:r w:rsidRPr="009A1B89">
        <w:rPr>
          <w:rStyle w:val="FontStyle29"/>
          <w:sz w:val="28"/>
          <w:szCs w:val="28"/>
        </w:rPr>
        <w:t>здоровья</w:t>
      </w:r>
      <w:proofErr w:type="gramEnd"/>
      <w:r w:rsidRPr="009A1B89">
        <w:rPr>
          <w:rStyle w:val="FontStyle29"/>
          <w:sz w:val="28"/>
          <w:szCs w:val="28"/>
        </w:rPr>
        <w:t xml:space="preserve"> обучающихся МДОО ежегодно проводятся городские спортивные празд</w:t>
      </w:r>
      <w:r w:rsidRPr="009A1B89">
        <w:rPr>
          <w:rStyle w:val="FontStyle29"/>
          <w:sz w:val="28"/>
          <w:szCs w:val="28"/>
        </w:rPr>
        <w:t>ники для воспитанников старшего дошкольного возраста (5-7 лет) в спортивных залах, на уличных спортивных площадках, в бассейнах МДОО, в которых принимают участие около 500 детей.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В целях обеспечения доступности общего образования, решения крупномасштабных </w:t>
      </w:r>
      <w:r w:rsidRPr="009A1B89">
        <w:rPr>
          <w:rStyle w:val="FontStyle29"/>
          <w:sz w:val="28"/>
          <w:szCs w:val="28"/>
        </w:rPr>
        <w:t xml:space="preserve">задач, определенных </w:t>
      </w:r>
      <w:r w:rsidRPr="009A1B89">
        <w:rPr>
          <w:rStyle w:val="FontStyle29"/>
          <w:sz w:val="28"/>
          <w:szCs w:val="28"/>
        </w:rPr>
        <w:lastRenderedPageBreak/>
        <w:t>Правительством РФ по переводу всех учащихся на односменный режим к 2025 году, решением думы города Иркутска 25 января 2018 года утверждена программа комплексного развития социальной сферы города Иркутска до 2025 года.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Согласно мероприят</w:t>
      </w:r>
      <w:r w:rsidRPr="009A1B89">
        <w:rPr>
          <w:rStyle w:val="FontStyle29"/>
          <w:sz w:val="28"/>
          <w:szCs w:val="28"/>
        </w:rPr>
        <w:t>иям Программы, в 2019 году введены в эксплуатацию школа в микрорайоне Лесной на 600 мест, пристрой к гимназии № 25 на 525 мест, а также спортивный модуль школы № 29.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В 2019 году в 74 муниципальных общеобразовательных организациях обучался 82921 учащийся, и</w:t>
      </w:r>
      <w:r w:rsidRPr="009A1B89">
        <w:rPr>
          <w:rStyle w:val="FontStyle29"/>
          <w:sz w:val="28"/>
          <w:szCs w:val="28"/>
        </w:rPr>
        <w:t>з них осваивали программу углубленного изучения отдельных предметов 11603 учащихся. Программы на профильном уровне осваивали 2387 учащихся 10 - 11-х классов.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В общеобразовательных организациях, подведомственных департаменту образования, обучалось 1756 дете</w:t>
      </w:r>
      <w:r w:rsidRPr="009A1B89">
        <w:rPr>
          <w:rStyle w:val="FontStyle29"/>
          <w:sz w:val="28"/>
          <w:szCs w:val="28"/>
        </w:rPr>
        <w:t>й с ОВЗ.</w:t>
      </w:r>
      <w:r w:rsid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>В целях обеспечения конституционных прав детей с ОВЗ департамент образования осуществлял и осуществляет работу с данной категорией учащихся по нескольким направлениям: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организация обучения детей с задержкой психического ра</w:t>
      </w:r>
      <w:r w:rsidRPr="009A1B89">
        <w:rPr>
          <w:rStyle w:val="FontStyle29"/>
          <w:sz w:val="28"/>
          <w:szCs w:val="28"/>
        </w:rPr>
        <w:t>звития в классах для детей с ОВЗ осуществляется пятнадцатью школами г. Иркутска (МБОУ г. Иркутска СОШ №№ 5, 8, 10, 27, 28, 29, 30, 37, 38, 42, 45, 53, 68, 73, 75).</w:t>
      </w:r>
      <w:proofErr w:type="gramEnd"/>
      <w:r w:rsidRPr="009A1B89">
        <w:rPr>
          <w:rStyle w:val="FontStyle29"/>
          <w:sz w:val="28"/>
          <w:szCs w:val="28"/>
        </w:rPr>
        <w:t xml:space="preserve"> В 2019 учебном году в них обучался 794 учащихся с задержкой психического развития;</w:t>
      </w:r>
      <w:r w:rsidR="009A1B89">
        <w:rPr>
          <w:rStyle w:val="FontStyle29"/>
          <w:sz w:val="28"/>
          <w:szCs w:val="28"/>
        </w:rPr>
        <w:t xml:space="preserve"> </w:t>
      </w:r>
      <w:proofErr w:type="gramStart"/>
      <w:r w:rsidRPr="009A1B89">
        <w:rPr>
          <w:rStyle w:val="FontStyle29"/>
          <w:sz w:val="28"/>
          <w:szCs w:val="28"/>
        </w:rPr>
        <w:t>обучени</w:t>
      </w:r>
      <w:r w:rsidRPr="009A1B89">
        <w:rPr>
          <w:rStyle w:val="FontStyle29"/>
          <w:sz w:val="28"/>
          <w:szCs w:val="28"/>
        </w:rPr>
        <w:t>е по</w:t>
      </w:r>
      <w:proofErr w:type="gramEnd"/>
      <w:r w:rsidRPr="009A1B89">
        <w:rPr>
          <w:rStyle w:val="FontStyle29"/>
          <w:sz w:val="28"/>
          <w:szCs w:val="28"/>
        </w:rPr>
        <w:t xml:space="preserve"> адаптированным программам детей с ОВЗ, обучающимся в общеобразовательных классах, было организовано 962 учащимся.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В 2019 году на государственной итоговой аттестации выпускников 21 учащийся муниципальных общеобразовательных организаций набрал </w:t>
      </w:r>
      <w:r w:rsidRPr="009A1B89">
        <w:rPr>
          <w:rStyle w:val="FontStyle29"/>
          <w:sz w:val="28"/>
          <w:szCs w:val="28"/>
          <w:u w:val="single"/>
        </w:rPr>
        <w:t>максималь</w:t>
      </w:r>
      <w:r w:rsidRPr="009A1B89">
        <w:rPr>
          <w:rStyle w:val="FontStyle29"/>
          <w:sz w:val="28"/>
          <w:szCs w:val="28"/>
          <w:u w:val="single"/>
        </w:rPr>
        <w:t>ный балл (100 баллов из 100 возможных) по предметам:</w:t>
      </w:r>
      <w:r w:rsidRPr="009A1B89">
        <w:rPr>
          <w:rStyle w:val="FontStyle29"/>
          <w:sz w:val="28"/>
          <w:szCs w:val="28"/>
        </w:rPr>
        <w:t>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70"/>
        <w:gridCol w:w="5803"/>
      </w:tblGrid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Предмет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Количество учащихся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14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Математика (</w:t>
            </w:r>
            <w:proofErr w:type="gramStart"/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профильный</w:t>
            </w:r>
            <w:proofErr w:type="gramEnd"/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3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История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2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Химия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1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Литература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1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21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7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Высокие баллы (от 80 до 100) по результатам экзаменов получили 168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человек: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2"/>
              <w:widowControl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Предм</w:t>
            </w: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ет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Количество учащихся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947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Математика (проф.)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180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Физика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23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Химия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33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Информатика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117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Биология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98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История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50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География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4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Английский язык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193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Немецкий язык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8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Французский язык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2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Обществознание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82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Литература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18</w:t>
            </w:r>
          </w:p>
        </w:tc>
      </w:tr>
      <w:tr w:rsidR="00000000" w:rsidRPr="009970A4" w:rsidTr="009A1B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970A4" w:rsidRDefault="009970A4" w:rsidP="009A1B89">
            <w:pPr>
              <w:pStyle w:val="Style21"/>
              <w:widowControl/>
              <w:jc w:val="both"/>
              <w:rPr>
                <w:rStyle w:val="FontStyle29"/>
                <w:rFonts w:eastAsiaTheme="minorEastAsia"/>
                <w:sz w:val="28"/>
                <w:szCs w:val="28"/>
              </w:rPr>
            </w:pPr>
            <w:r w:rsidRPr="009970A4">
              <w:rPr>
                <w:rStyle w:val="FontStyle29"/>
                <w:rFonts w:eastAsiaTheme="minorEastAsia"/>
                <w:sz w:val="28"/>
                <w:szCs w:val="28"/>
              </w:rPr>
              <w:t>1685</w:t>
            </w:r>
          </w:p>
        </w:tc>
      </w:tr>
    </w:tbl>
    <w:p w:rsidR="009970A4" w:rsidRPr="009A1B89" w:rsidRDefault="009970A4" w:rsidP="009A1B89">
      <w:pPr>
        <w:pStyle w:val="Style13"/>
        <w:widowControl/>
        <w:jc w:val="both"/>
        <w:rPr>
          <w:rStyle w:val="FontStyle29"/>
          <w:sz w:val="28"/>
          <w:szCs w:val="28"/>
        </w:rPr>
      </w:pPr>
      <w:r w:rsidRPr="009A1B89">
        <w:rPr>
          <w:rStyle w:val="FontStyle29"/>
          <w:sz w:val="28"/>
          <w:szCs w:val="28"/>
        </w:rPr>
        <w:lastRenderedPageBreak/>
        <w:t xml:space="preserve">Ежегодно </w:t>
      </w:r>
      <w:r w:rsidRPr="009A1B89">
        <w:rPr>
          <w:rStyle w:val="FontStyle29"/>
          <w:sz w:val="28"/>
          <w:szCs w:val="28"/>
        </w:rPr>
        <w:t>увеличивается количество учащихся, награжденных Золотой медалью «За отличные успехи в учёбе». В 2019 году 297 выпускников, отлично освоивших программы на уровне среднего общего образования, были награждены данной медалью.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По состоянию на 31.12.2019 года в </w:t>
      </w:r>
      <w:r w:rsidRPr="009A1B89">
        <w:rPr>
          <w:rStyle w:val="FontStyle29"/>
          <w:sz w:val="28"/>
          <w:szCs w:val="28"/>
        </w:rPr>
        <w:t xml:space="preserve">городе Иркутске функционирует 16 </w:t>
      </w:r>
      <w:r w:rsidRPr="009A1B89">
        <w:rPr>
          <w:rStyle w:val="FontStyle29"/>
          <w:sz w:val="28"/>
          <w:szCs w:val="28"/>
        </w:rPr>
        <w:t>муниципальных</w:t>
      </w:r>
      <w:r w:rsidRPr="009A1B89">
        <w:rPr>
          <w:rStyle w:val="FontStyle29"/>
          <w:sz w:val="28"/>
          <w:szCs w:val="28"/>
        </w:rPr>
        <w:t xml:space="preserve"> учреждений </w:t>
      </w:r>
      <w:r w:rsidRPr="009A1B89">
        <w:rPr>
          <w:rStyle w:val="FontStyle29"/>
          <w:sz w:val="28"/>
          <w:szCs w:val="28"/>
        </w:rPr>
        <w:t>дополнительного образования, подведомственных департаменту образования: - 5 ДЮСШ;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1 Дворец спорта «Юность»;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1 Дворец творчества;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4 Дома творчества;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4 Це</w:t>
      </w:r>
      <w:r w:rsidRPr="009A1B89">
        <w:rPr>
          <w:rStyle w:val="FontStyle29"/>
          <w:sz w:val="28"/>
          <w:szCs w:val="28"/>
        </w:rPr>
        <w:t>нтра творчества;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1 Станция юных натуралистов.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В данных учреждениях занимаются 25 172 человек, в возрасте от 5 до 18 лет, в том числе </w:t>
      </w:r>
      <w:r w:rsidRPr="009A1B89">
        <w:rPr>
          <w:rStyle w:val="FontStyle29"/>
          <w:spacing w:val="20"/>
          <w:sz w:val="28"/>
          <w:szCs w:val="28"/>
        </w:rPr>
        <w:t>по</w:t>
      </w:r>
      <w:r w:rsidRPr="009A1B89">
        <w:rPr>
          <w:rStyle w:val="FontStyle29"/>
          <w:sz w:val="28"/>
          <w:szCs w:val="28"/>
        </w:rPr>
        <w:t xml:space="preserve"> направленностям: технической - 1 266; естественно</w:t>
      </w:r>
      <w:r w:rsidRPr="009A1B89">
        <w:rPr>
          <w:rStyle w:val="FontStyle29"/>
          <w:sz w:val="28"/>
          <w:szCs w:val="28"/>
        </w:rPr>
        <w:softHyphen/>
        <w:t>научной 1 666; туристско-краеведческой - 599; физкультурно-спортивно</w:t>
      </w:r>
      <w:r w:rsidRPr="009A1B89">
        <w:rPr>
          <w:rStyle w:val="FontStyle29"/>
          <w:sz w:val="28"/>
          <w:szCs w:val="28"/>
        </w:rPr>
        <w:t>й -7170; художественной - 10 613; социально - педагогической - 3 858 человек</w:t>
      </w:r>
      <w:proofErr w:type="gramStart"/>
      <w:r w:rsidRPr="009A1B89">
        <w:rPr>
          <w:rStyle w:val="FontStyle29"/>
          <w:sz w:val="28"/>
          <w:szCs w:val="28"/>
        </w:rPr>
        <w:t xml:space="preserve"> В</w:t>
      </w:r>
      <w:proofErr w:type="gramEnd"/>
      <w:r w:rsidRPr="009A1B89">
        <w:rPr>
          <w:rStyle w:val="FontStyle29"/>
          <w:sz w:val="28"/>
          <w:szCs w:val="28"/>
        </w:rPr>
        <w:t xml:space="preserve"> двух и более объединениях занимаются 3 082 человек (12%).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Кроме этого, на базе общеобразовательных учреждений города функционирует 906 кружков и секций, в которых обучаются 3194</w:t>
      </w:r>
      <w:r w:rsidRPr="009A1B89">
        <w:rPr>
          <w:rStyle w:val="FontStyle29"/>
          <w:sz w:val="28"/>
          <w:szCs w:val="28"/>
        </w:rPr>
        <w:t>4 человека.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В сравнении с 2018 годом число детей, занятых в кружках увеличилось на 1172 чел. Также наблюдается рост занятых детей в кружках технической и </w:t>
      </w:r>
      <w:proofErr w:type="spellStart"/>
      <w:proofErr w:type="gramStart"/>
      <w:r w:rsidRPr="009A1B89">
        <w:rPr>
          <w:rStyle w:val="FontStyle29"/>
          <w:sz w:val="28"/>
          <w:szCs w:val="28"/>
        </w:rPr>
        <w:t>естественно-научной</w:t>
      </w:r>
      <w:proofErr w:type="spellEnd"/>
      <w:proofErr w:type="gramEnd"/>
      <w:r w:rsidRPr="009A1B89">
        <w:rPr>
          <w:rStyle w:val="FontStyle29"/>
          <w:sz w:val="28"/>
          <w:szCs w:val="28"/>
        </w:rPr>
        <w:t xml:space="preserve"> направленности на 14 %.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>Всего в системе дополнительного образования департамента о</w:t>
      </w:r>
      <w:r w:rsidRPr="009A1B89">
        <w:rPr>
          <w:rStyle w:val="FontStyle29"/>
          <w:sz w:val="28"/>
          <w:szCs w:val="28"/>
        </w:rPr>
        <w:t>бразования занято 59</w:t>
      </w:r>
      <w:r w:rsidRPr="009A1B89">
        <w:rPr>
          <w:rStyle w:val="FontStyle29"/>
          <w:sz w:val="28"/>
          <w:szCs w:val="28"/>
        </w:rPr>
        <w:t>%, от общего контингента школьников.</w:t>
      </w:r>
      <w:r w:rsidR="009A1B89">
        <w:rPr>
          <w:rStyle w:val="FontStyle29"/>
          <w:sz w:val="28"/>
          <w:szCs w:val="28"/>
        </w:rPr>
        <w:t xml:space="preserve"> </w:t>
      </w:r>
      <w:r w:rsidRPr="009A1B89">
        <w:rPr>
          <w:rStyle w:val="FontStyle29"/>
          <w:sz w:val="28"/>
          <w:szCs w:val="28"/>
        </w:rPr>
        <w:t xml:space="preserve">Ежегодно учреждения стараются открывать новые направления дополнительного образования. </w:t>
      </w:r>
      <w:proofErr w:type="gramStart"/>
      <w:r w:rsidRPr="009A1B89">
        <w:rPr>
          <w:rStyle w:val="FontStyle29"/>
          <w:sz w:val="28"/>
          <w:szCs w:val="28"/>
        </w:rPr>
        <w:t>В 2019 году в 5 учреждениях было открыты новые объединения: клуб «АРХИМЕД» технической направленности, объедине</w:t>
      </w:r>
      <w:r w:rsidRPr="009A1B89">
        <w:rPr>
          <w:rStyle w:val="FontStyle29"/>
          <w:sz w:val="28"/>
          <w:szCs w:val="28"/>
        </w:rPr>
        <w:t xml:space="preserve">ние «Сибирская академия» учебно-исследовательской направленности, объединение «Кукольный театр», «Английский язык в робототехнике», «Волшебный </w:t>
      </w:r>
      <w:proofErr w:type="spellStart"/>
      <w:r w:rsidRPr="009A1B89">
        <w:rPr>
          <w:rStyle w:val="FontStyle29"/>
          <w:sz w:val="28"/>
          <w:szCs w:val="28"/>
        </w:rPr>
        <w:t>квиллинг</w:t>
      </w:r>
      <w:proofErr w:type="spellEnd"/>
      <w:r w:rsidRPr="009A1B89">
        <w:rPr>
          <w:rStyle w:val="FontStyle29"/>
          <w:sz w:val="28"/>
          <w:szCs w:val="28"/>
        </w:rPr>
        <w:t>», «Мультипликация», «Краеведение», «Степ», «Детский игровой танец», «Спортивное ориентирование», «Шашки»</w:t>
      </w:r>
      <w:r w:rsidRPr="009A1B89">
        <w:rPr>
          <w:rStyle w:val="FontStyle29"/>
          <w:sz w:val="28"/>
          <w:szCs w:val="28"/>
        </w:rPr>
        <w:t>.</w:t>
      </w:r>
      <w:r w:rsidR="009A1B89">
        <w:rPr>
          <w:rStyle w:val="FontStyle29"/>
          <w:sz w:val="28"/>
          <w:szCs w:val="28"/>
        </w:rPr>
        <w:t xml:space="preserve"> </w:t>
      </w:r>
      <w:proofErr w:type="gramEnd"/>
    </w:p>
    <w:sectPr w:rsidR="009970A4" w:rsidRPr="009A1B89" w:rsidSect="009A1B89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A4" w:rsidRDefault="009970A4">
      <w:r>
        <w:separator/>
      </w:r>
    </w:p>
  </w:endnote>
  <w:endnote w:type="continuationSeparator" w:id="0">
    <w:p w:rsidR="009970A4" w:rsidRDefault="0099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A4" w:rsidRDefault="009970A4">
      <w:r>
        <w:separator/>
      </w:r>
    </w:p>
  </w:footnote>
  <w:footnote w:type="continuationSeparator" w:id="0">
    <w:p w:rsidR="009970A4" w:rsidRDefault="00997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B89"/>
    <w:rsid w:val="009970A4"/>
    <w:rsid w:val="009A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2262</Words>
  <Characters>12894</Characters>
  <Application>Microsoft Office Word</Application>
  <DocSecurity>0</DocSecurity>
  <Lines>107</Lines>
  <Paragraphs>30</Paragraphs>
  <ScaleCrop>false</ScaleCrop>
  <Company>Microsoft</Company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user</dc:creator>
  <cp:lastModifiedBy>user</cp:lastModifiedBy>
  <cp:revision>2</cp:revision>
  <dcterms:created xsi:type="dcterms:W3CDTF">2020-04-18T11:22:00Z</dcterms:created>
  <dcterms:modified xsi:type="dcterms:W3CDTF">2020-04-18T11:22:00Z</dcterms:modified>
</cp:coreProperties>
</file>