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B9" w:rsidRPr="002951FA" w:rsidRDefault="002951FA" w:rsidP="00CB5901">
      <w:pPr>
        <w:tabs>
          <w:tab w:val="left" w:pos="9498"/>
        </w:tabs>
        <w:ind w:left="-1134" w:firstLine="283"/>
        <w:jc w:val="both"/>
        <w:rPr>
          <w:b/>
          <w:sz w:val="28"/>
        </w:rPr>
      </w:pPr>
      <w:r w:rsidRPr="002951FA">
        <w:rPr>
          <w:b/>
          <w:sz w:val="28"/>
        </w:rPr>
        <w:t>БАРНАУЛ</w:t>
      </w:r>
    </w:p>
    <w:p w:rsidR="00C309D0" w:rsidRPr="00C309D0" w:rsidRDefault="00C309D0" w:rsidP="002951FA">
      <w:pPr>
        <w:pStyle w:val="a6"/>
        <w:tabs>
          <w:tab w:val="left" w:pos="9498"/>
        </w:tabs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 xml:space="preserve">В течение 2019 года органами местного самоуправления </w:t>
      </w:r>
      <w:r>
        <w:rPr>
          <w:sz w:val="28"/>
          <w:szCs w:val="28"/>
        </w:rPr>
        <w:t xml:space="preserve">города Барнаула </w:t>
      </w:r>
      <w:r w:rsidRPr="00C309D0">
        <w:rPr>
          <w:sz w:val="28"/>
          <w:szCs w:val="28"/>
        </w:rPr>
        <w:t>велась систематическая и целенаправленная работа по повышению качества правового регулирования отношений, складывающихся на территории города. Подготовлено и принято 129</w:t>
      </w:r>
      <w:r w:rsidR="002951FA">
        <w:rPr>
          <w:sz w:val="28"/>
          <w:szCs w:val="28"/>
        </w:rPr>
        <w:t xml:space="preserve"> </w:t>
      </w:r>
      <w:r w:rsidRPr="00C309D0">
        <w:rPr>
          <w:sz w:val="28"/>
          <w:szCs w:val="28"/>
        </w:rPr>
        <w:t xml:space="preserve">решений </w:t>
      </w:r>
      <w:proofErr w:type="spellStart"/>
      <w:r w:rsidRPr="00C309D0">
        <w:rPr>
          <w:sz w:val="28"/>
          <w:szCs w:val="28"/>
        </w:rPr>
        <w:t>Барнаульской</w:t>
      </w:r>
      <w:proofErr w:type="spellEnd"/>
      <w:r w:rsidRPr="00C309D0">
        <w:rPr>
          <w:sz w:val="28"/>
          <w:szCs w:val="28"/>
        </w:rPr>
        <w:t xml:space="preserve"> городской Думы, 326 постановлений администрации города, носящих нормативный характер, 596 муниципальных нормативных правовых актов переданы в регистр муниципальных нормативных правовых актов Алтайского края.</w:t>
      </w:r>
      <w:r w:rsidR="002951FA">
        <w:rPr>
          <w:sz w:val="28"/>
          <w:szCs w:val="28"/>
        </w:rPr>
        <w:t xml:space="preserve"> </w:t>
      </w:r>
      <w:r w:rsidRPr="00C309D0">
        <w:rPr>
          <w:sz w:val="28"/>
          <w:szCs w:val="28"/>
        </w:rPr>
        <w:t xml:space="preserve">Особое внимание при подготовке нормативных правовых актов обращалось на недопустимость включения в их проекты </w:t>
      </w:r>
      <w:proofErr w:type="spellStart"/>
      <w:r w:rsidRPr="00C309D0">
        <w:rPr>
          <w:sz w:val="28"/>
          <w:szCs w:val="28"/>
        </w:rPr>
        <w:t>коррупциогенных</w:t>
      </w:r>
      <w:proofErr w:type="spellEnd"/>
      <w:r w:rsidRPr="00C309D0">
        <w:rPr>
          <w:sz w:val="28"/>
          <w:szCs w:val="28"/>
        </w:rPr>
        <w:t xml:space="preserve"> факторов.</w:t>
      </w:r>
    </w:p>
    <w:p w:rsidR="00C309D0" w:rsidRPr="00C309D0" w:rsidRDefault="00C309D0" w:rsidP="002951FA">
      <w:pPr>
        <w:tabs>
          <w:tab w:val="left" w:pos="9498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C309D0">
        <w:rPr>
          <w:bCs/>
          <w:sz w:val="28"/>
          <w:szCs w:val="28"/>
        </w:rPr>
        <w:t>Всеми органами местного самоуправления в соответствии с утвержденными Планами проводился</w:t>
      </w:r>
      <w:r w:rsidRPr="00C309D0">
        <w:rPr>
          <w:sz w:val="28"/>
          <w:szCs w:val="28"/>
        </w:rPr>
        <w:t xml:space="preserve"> мониторинг муниципальных нормативных правовых актов.</w:t>
      </w:r>
      <w:r w:rsidR="002951FA">
        <w:rPr>
          <w:sz w:val="28"/>
          <w:szCs w:val="28"/>
        </w:rPr>
        <w:t xml:space="preserve"> </w:t>
      </w:r>
      <w:r w:rsidRPr="00C309D0">
        <w:rPr>
          <w:sz w:val="28"/>
          <w:szCs w:val="28"/>
        </w:rPr>
        <w:t xml:space="preserve">Выявленные по результатам проведенного мониторинга противоречия действующему федеральному, региональному законодательству и муниципальным нормативным правовым актам </w:t>
      </w:r>
      <w:r w:rsidRPr="00C309D0">
        <w:rPr>
          <w:bCs/>
          <w:sz w:val="28"/>
          <w:szCs w:val="28"/>
        </w:rPr>
        <w:t>были устранены.</w:t>
      </w:r>
      <w:r w:rsidR="002951FA">
        <w:rPr>
          <w:bCs/>
          <w:sz w:val="28"/>
          <w:szCs w:val="28"/>
        </w:rPr>
        <w:t xml:space="preserve"> </w:t>
      </w:r>
      <w:r w:rsidRPr="00C309D0">
        <w:rPr>
          <w:bCs/>
          <w:sz w:val="28"/>
          <w:szCs w:val="28"/>
        </w:rPr>
        <w:t>С 2018 года в практику работы органов местного самоуправления города введено планирование деятельности по нормотворчеству, что позволяет своевременно разрабатывать проекты правовых актов и контролировать их принятие.</w:t>
      </w:r>
    </w:p>
    <w:p w:rsidR="00C309D0" w:rsidRPr="00C309D0" w:rsidRDefault="00C309D0" w:rsidP="002951FA">
      <w:pPr>
        <w:pStyle w:val="a6"/>
        <w:tabs>
          <w:tab w:val="left" w:pos="9498"/>
        </w:tabs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>В августе 2019 года в рамках совершенствования правового регулирования и в связи с изменениями, внесенными в Федеральный закон от 06.10.2003</w:t>
      </w:r>
      <w:r w:rsidR="002951FA">
        <w:rPr>
          <w:sz w:val="28"/>
          <w:szCs w:val="28"/>
        </w:rPr>
        <w:t xml:space="preserve"> </w:t>
      </w:r>
      <w:r w:rsidRPr="00C309D0">
        <w:rPr>
          <w:sz w:val="28"/>
          <w:szCs w:val="28"/>
        </w:rPr>
        <w:t xml:space="preserve">№131-Ф3 «Об общих принципах организации местного самоуправления в Российской Федерации», были внесены изменения в Устав городского округа – города Барнаула Алтайского края. В августе же 2019 года после длительной работы по его разработке был утвержден Генеральный план городского округа - города Барнаула Алтайского края в новой редакции, определяющий главные перспективы развития города. В связи с принятием Генерального плана были разработаны Правила землепользования и застройки городского округа - города Барнаула Алтайского края в новой редакции. В 2020 году в связи с указанными документами и с изменениями, внесенными в Градостроительный кодекс Российской Федерации, необходимо будет продолжить работу по приведению муниципальных правовых актов в сфере градостроительных вопросов. </w:t>
      </w:r>
    </w:p>
    <w:p w:rsidR="00C309D0" w:rsidRPr="00C309D0" w:rsidRDefault="00C309D0" w:rsidP="002951FA">
      <w:pPr>
        <w:pStyle w:val="a6"/>
        <w:tabs>
          <w:tab w:val="left" w:pos="9498"/>
        </w:tabs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>Также в 2019 году продолжилась работа по приведению административных регламентов предоставления муниципальных услуг в соответствие с действующим законодательством.</w:t>
      </w:r>
      <w:r w:rsidR="002951FA">
        <w:rPr>
          <w:color w:val="FF0000"/>
          <w:sz w:val="28"/>
          <w:szCs w:val="28"/>
        </w:rPr>
        <w:t xml:space="preserve"> </w:t>
      </w:r>
      <w:r w:rsidRPr="00C309D0">
        <w:rPr>
          <w:sz w:val="28"/>
          <w:szCs w:val="28"/>
        </w:rPr>
        <w:t>Так было разработано и принято 29 муниципальных правовых актов, утверждающих административные регламенты предоставления муниципальных услуг, из них 6 административных регламентов были приняты впервые.</w:t>
      </w:r>
    </w:p>
    <w:p w:rsidR="00C309D0" w:rsidRPr="00C309D0" w:rsidRDefault="00C309D0" w:rsidP="002951FA">
      <w:pPr>
        <w:tabs>
          <w:tab w:val="left" w:pos="9498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 xml:space="preserve">В связи с принятием постановления администрации города от 06.02.2019 №145 «Об утверждении Порядка создания, формирования и изменения состава коллегиальных органов </w:t>
      </w:r>
      <w:proofErr w:type="spellStart"/>
      <w:proofErr w:type="gramStart"/>
      <w:r w:rsidRPr="00C309D0">
        <w:rPr>
          <w:sz w:val="28"/>
          <w:szCs w:val="28"/>
        </w:rPr>
        <w:t>органов</w:t>
      </w:r>
      <w:proofErr w:type="spellEnd"/>
      <w:proofErr w:type="gramEnd"/>
      <w:r w:rsidRPr="00C309D0">
        <w:rPr>
          <w:sz w:val="28"/>
          <w:szCs w:val="28"/>
        </w:rPr>
        <w:t xml:space="preserve"> местного самоуправления города Барнаула» в течение 2019 года проводилась работа по ревизии рабочих органов, созданных администрацией города, и соответствия положений об этих органах указанному постановлению администрации города.</w:t>
      </w:r>
    </w:p>
    <w:p w:rsidR="00C309D0" w:rsidRPr="00C309D0" w:rsidRDefault="00C309D0" w:rsidP="002951FA">
      <w:pPr>
        <w:tabs>
          <w:tab w:val="left" w:pos="9498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 xml:space="preserve">По состоянию на февраль 2019 года в администрации города действовало 113 рабочих органов (комиссии, штабы, рабочие группы, советы). В результате </w:t>
      </w:r>
      <w:r w:rsidR="002951FA">
        <w:rPr>
          <w:sz w:val="28"/>
          <w:szCs w:val="28"/>
        </w:rPr>
        <w:t>п</w:t>
      </w:r>
      <w:r w:rsidRPr="00C309D0">
        <w:rPr>
          <w:sz w:val="28"/>
          <w:szCs w:val="28"/>
        </w:rPr>
        <w:t>роведенной работы 24 рабочих органа упразднены, 86 положений о рабочих органах приведены в соответствие с действующим законодательством и муниципальными правовыми актами, в работе находится три положения о рабочих органах.</w:t>
      </w:r>
    </w:p>
    <w:p w:rsidR="00C309D0" w:rsidRPr="00C309D0" w:rsidRDefault="00C309D0" w:rsidP="002951FA">
      <w:pPr>
        <w:tabs>
          <w:tab w:val="left" w:pos="9498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lastRenderedPageBreak/>
        <w:t>В рамках заключенного в 2017 году Соглашения о взаимодействии проекты нормативных актов направляются на предварительную экспертизу в прокуратуру города. Необходимо отметить, что количество отрицательных заключений органов прокуратуры на разработанные органами местного самоуправления проекты правовых актов уменьшилось</w:t>
      </w:r>
      <w:r w:rsidR="002951FA">
        <w:rPr>
          <w:sz w:val="28"/>
          <w:szCs w:val="28"/>
        </w:rPr>
        <w:t xml:space="preserve"> </w:t>
      </w:r>
      <w:r w:rsidRPr="00C309D0">
        <w:rPr>
          <w:sz w:val="28"/>
          <w:szCs w:val="28"/>
        </w:rPr>
        <w:t xml:space="preserve">с 4,2 % (2017 год) до 0,9 % (2019 год). </w:t>
      </w:r>
    </w:p>
    <w:p w:rsidR="00C309D0" w:rsidRPr="00C309D0" w:rsidRDefault="00C309D0" w:rsidP="002951FA">
      <w:pPr>
        <w:tabs>
          <w:tab w:val="left" w:pos="9498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>Одним из важнейших направлений работы является повышение правовой культуры жителей города. В целях организации работы по данному направлению в рамках традиционных</w:t>
      </w:r>
      <w:r w:rsidR="002951FA">
        <w:rPr>
          <w:sz w:val="28"/>
          <w:szCs w:val="28"/>
        </w:rPr>
        <w:t xml:space="preserve"> </w:t>
      </w:r>
      <w:r w:rsidRPr="00C309D0">
        <w:rPr>
          <w:sz w:val="28"/>
          <w:szCs w:val="28"/>
        </w:rPr>
        <w:t>Дней бесплатной юридической помощи работниками юридических служб органов местного самоуправления предоставлялись бесплатные юридические услуги жителям города, которые востребованы жителями города. В 2019 году организовано проведение пяти</w:t>
      </w:r>
      <w:r w:rsidR="002951FA">
        <w:rPr>
          <w:sz w:val="28"/>
          <w:szCs w:val="28"/>
        </w:rPr>
        <w:t xml:space="preserve"> </w:t>
      </w:r>
      <w:r w:rsidRPr="00C309D0">
        <w:rPr>
          <w:sz w:val="28"/>
          <w:szCs w:val="28"/>
        </w:rPr>
        <w:t>Дней бесплатной юридической помощи. Кроме того, проведено две Прямые линии по вопросам антикоррупционного просвещения граждан.</w:t>
      </w:r>
    </w:p>
    <w:p w:rsidR="00C309D0" w:rsidRPr="00C309D0" w:rsidRDefault="00C309D0" w:rsidP="002951FA">
      <w:pPr>
        <w:tabs>
          <w:tab w:val="left" w:pos="9498"/>
        </w:tabs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>На особом контроле в администрации города стоял вопрос организации взаимодействия со службой судебных приставов по исполнению вступивших в силу решений суда, в том числе по взысканию денежных сре</w:t>
      </w:r>
      <w:proofErr w:type="gramStart"/>
      <w:r w:rsidRPr="00C309D0">
        <w:rPr>
          <w:sz w:val="28"/>
          <w:szCs w:val="28"/>
        </w:rPr>
        <w:t>дств в д</w:t>
      </w:r>
      <w:proofErr w:type="gramEnd"/>
      <w:r w:rsidRPr="00C309D0">
        <w:rPr>
          <w:sz w:val="28"/>
          <w:szCs w:val="28"/>
        </w:rPr>
        <w:t>оход бюджета города, сносу самовольных построек на территории города. В 2019 году в работе находилось 35 исполнительных производств, возбужденных в отношении администрации города Барнаула (23 из них окончено в связи с фактическим исполнением).</w:t>
      </w:r>
    </w:p>
    <w:p w:rsidR="00C309D0" w:rsidRPr="00C309D0" w:rsidRDefault="00C309D0" w:rsidP="002951FA">
      <w:pPr>
        <w:pStyle w:val="a9"/>
        <w:tabs>
          <w:tab w:val="left" w:pos="9498"/>
        </w:tabs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 xml:space="preserve">В 2019 году в отношении администрации города было возбуждено 24 производства, в связи с совершением правонарушений, предусмотренных, как ч.1 ст.17.15, так и ч.2 ст.17.15 КоАП РФ. Также в отношении администрации города вынесено 4 постановления о привлечении к административной ответственности на основании ч.1 ст.17.14 КоАП РФ. Общая сумма наложенных штрафов составила 1 240 000 рублей (при доведенных средствах на оплату штрафов на весь 2019 год 650 000 рублей). Все постановления о привлечении к административной ответственности обжалованы в судебном порядке. По итогам рассмотрения жалоб 20 постановлений о привлечении к ответственности отменено. </w:t>
      </w:r>
    </w:p>
    <w:p w:rsidR="00C309D0" w:rsidRPr="00C309D0" w:rsidRDefault="00C309D0" w:rsidP="002951FA">
      <w:pPr>
        <w:pStyle w:val="a9"/>
        <w:tabs>
          <w:tab w:val="left" w:pos="9498"/>
        </w:tabs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>Оплачено 6 штрафов на сумму 300 000 рублей (с учетом штрафов, наложенных в 2018 году).</w:t>
      </w:r>
    </w:p>
    <w:p w:rsidR="00C309D0" w:rsidRPr="00C309D0" w:rsidRDefault="00C309D0" w:rsidP="002951FA">
      <w:pPr>
        <w:pStyle w:val="a9"/>
        <w:tabs>
          <w:tab w:val="left" w:pos="9498"/>
        </w:tabs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>С учетом того, что бюджет города Барнаула (равно как и большинства муниципальных образований) является дефицитным, администрация города полагает необходимым повторно вернуться к вопросу внесения изменений в Федеральный закон «Об исполнительном производстве» в части освобождения органов государственной власти и органов местного самоуправления от уплаты исполнительских сборов.</w:t>
      </w:r>
    </w:p>
    <w:p w:rsidR="00C309D0" w:rsidRPr="00C309D0" w:rsidRDefault="00C309D0" w:rsidP="002951FA">
      <w:pPr>
        <w:pStyle w:val="a9"/>
        <w:tabs>
          <w:tab w:val="left" w:pos="9498"/>
        </w:tabs>
        <w:spacing w:before="0" w:beforeAutospacing="0" w:after="0" w:afterAutospacing="0"/>
        <w:ind w:left="-851"/>
        <w:jc w:val="both"/>
        <w:rPr>
          <w:rFonts w:eastAsiaTheme="minorHAnsi"/>
          <w:sz w:val="28"/>
          <w:szCs w:val="28"/>
        </w:rPr>
      </w:pPr>
      <w:r w:rsidRPr="00C309D0">
        <w:rPr>
          <w:sz w:val="28"/>
          <w:szCs w:val="28"/>
        </w:rPr>
        <w:t>Остаются неисполненными исполнительные производства, возбужденные в 2009-2011 годах, обязывающие органы местного самоуправления организовать очистку сточных вод, сбрасываемых из ливневой канализации в р</w:t>
      </w:r>
      <w:proofErr w:type="gramStart"/>
      <w:r w:rsidRPr="00C309D0">
        <w:rPr>
          <w:sz w:val="28"/>
          <w:szCs w:val="28"/>
        </w:rPr>
        <w:t>.О</w:t>
      </w:r>
      <w:proofErr w:type="gramEnd"/>
      <w:r w:rsidRPr="00C309D0">
        <w:rPr>
          <w:sz w:val="28"/>
          <w:szCs w:val="28"/>
        </w:rPr>
        <w:t xml:space="preserve">бь и </w:t>
      </w:r>
      <w:proofErr w:type="spellStart"/>
      <w:r w:rsidRPr="00C309D0">
        <w:rPr>
          <w:sz w:val="28"/>
          <w:szCs w:val="28"/>
        </w:rPr>
        <w:t>р.Барнаулку</w:t>
      </w:r>
      <w:proofErr w:type="spellEnd"/>
      <w:r w:rsidRPr="00C309D0">
        <w:rPr>
          <w:sz w:val="28"/>
          <w:szCs w:val="28"/>
        </w:rPr>
        <w:t>. Все эти исполнительные производства требуют значительных финансовых затрат, поскольку необходимо строительство очистных сооружений, ориентировочная стоимость которых около 4 млрд</w:t>
      </w:r>
      <w:proofErr w:type="gramStart"/>
      <w:r w:rsidRPr="00C309D0">
        <w:rPr>
          <w:sz w:val="28"/>
          <w:szCs w:val="28"/>
        </w:rPr>
        <w:t>.р</w:t>
      </w:r>
      <w:proofErr w:type="gramEnd"/>
      <w:r w:rsidRPr="00C309D0">
        <w:rPr>
          <w:sz w:val="28"/>
          <w:szCs w:val="28"/>
        </w:rPr>
        <w:t xml:space="preserve">уб. Также не исполнены в полном объеме иски об организации инженерной инфраструктуры на территории города, что обусловлено значительными затратами из бюджета города и длительными сроками выполнения соответствующих мероприятий. С учетом дефицита бюджета города решить такую задачу в короткие сроки не представляется возможным. </w:t>
      </w:r>
    </w:p>
    <w:p w:rsidR="00C309D0" w:rsidRPr="00C309D0" w:rsidRDefault="00C309D0" w:rsidP="002951FA">
      <w:pPr>
        <w:tabs>
          <w:tab w:val="left" w:pos="9498"/>
        </w:tabs>
        <w:ind w:left="-851"/>
        <w:contextualSpacing/>
        <w:jc w:val="both"/>
        <w:rPr>
          <w:color w:val="000000"/>
          <w:sz w:val="28"/>
          <w:szCs w:val="28"/>
        </w:rPr>
      </w:pPr>
      <w:r w:rsidRPr="00C309D0">
        <w:rPr>
          <w:sz w:val="28"/>
          <w:szCs w:val="28"/>
        </w:rPr>
        <w:t xml:space="preserve">Актуальным остается вопрос и организации взаимодействия с органами прокуратуры. В 2019 году с участием органов прокуратуры рассмотрено 46 заявлений, по которым </w:t>
      </w:r>
      <w:r w:rsidRPr="00C309D0">
        <w:rPr>
          <w:sz w:val="28"/>
          <w:szCs w:val="28"/>
        </w:rPr>
        <w:lastRenderedPageBreak/>
        <w:t>администрация города привлечена в качестве ответчика, материального истца либо выступала в качестве заявителя о предоставлении отсрочки исполнения решения суда, взыскателем по которому выступает прокурор.</w:t>
      </w:r>
      <w:r w:rsidRPr="00C309D0">
        <w:rPr>
          <w:color w:val="000000"/>
          <w:sz w:val="28"/>
          <w:szCs w:val="28"/>
        </w:rPr>
        <w:t xml:space="preserve"> </w:t>
      </w:r>
    </w:p>
    <w:p w:rsidR="00C309D0" w:rsidRPr="00C309D0" w:rsidRDefault="00C309D0" w:rsidP="002951FA">
      <w:pPr>
        <w:tabs>
          <w:tab w:val="left" w:pos="9498"/>
        </w:tabs>
        <w:ind w:left="-851"/>
        <w:contextualSpacing/>
        <w:jc w:val="both"/>
        <w:rPr>
          <w:color w:val="000000"/>
          <w:sz w:val="28"/>
          <w:szCs w:val="28"/>
        </w:rPr>
      </w:pPr>
      <w:proofErr w:type="gramStart"/>
      <w:r w:rsidRPr="00C309D0">
        <w:rPr>
          <w:color w:val="000000"/>
          <w:sz w:val="28"/>
          <w:szCs w:val="28"/>
        </w:rPr>
        <w:t xml:space="preserve">В рамках осуществления прокурорского надзора за переселением граждан из аварийных жилых домов продолжают поступать иски о предоставлении жилых помещений и уплаты выкупной цены (в 2019 году поступил 31 иск указанной категории. </w:t>
      </w:r>
      <w:proofErr w:type="gramEnd"/>
    </w:p>
    <w:p w:rsidR="00C309D0" w:rsidRPr="00C309D0" w:rsidRDefault="00C309D0" w:rsidP="002951FA">
      <w:pPr>
        <w:tabs>
          <w:tab w:val="left" w:pos="9498"/>
        </w:tabs>
        <w:ind w:left="-851"/>
        <w:contextualSpacing/>
        <w:jc w:val="both"/>
        <w:rPr>
          <w:color w:val="000000"/>
          <w:sz w:val="28"/>
          <w:szCs w:val="28"/>
        </w:rPr>
      </w:pPr>
      <w:proofErr w:type="gramStart"/>
      <w:r w:rsidRPr="00C309D0">
        <w:rPr>
          <w:color w:val="000000"/>
          <w:sz w:val="28"/>
          <w:szCs w:val="28"/>
        </w:rPr>
        <w:t>При удовлетворении судами требований органов прокуратуры и других контрольно-надзорных органов о понуждении органов местного самоуправления к совершению каких-либо действий за счет средств местных бюджетов (финансирование которых не запланировано в установленном порядке в бюджете на текущий финансовый год) фактически происходит вмешательство органов государственной власти в самостоятельное полномочие органов местного самоуправления по распоряжению средствами местных бюджетов.</w:t>
      </w:r>
      <w:proofErr w:type="gramEnd"/>
      <w:r w:rsidRPr="00C309D0">
        <w:rPr>
          <w:color w:val="000000"/>
          <w:sz w:val="28"/>
          <w:szCs w:val="28"/>
        </w:rPr>
        <w:t xml:space="preserve"> Удовлетворение судами таких требований прокуроров порождает необходимость дополнительного бюджетного финансирования в ущерб решению иных насущных проблем города.</w:t>
      </w:r>
    </w:p>
    <w:p w:rsidR="00C309D0" w:rsidRPr="00C309D0" w:rsidRDefault="00C309D0" w:rsidP="002951FA">
      <w:pPr>
        <w:pStyle w:val="a7"/>
        <w:tabs>
          <w:tab w:val="left" w:pos="9498"/>
        </w:tabs>
        <w:ind w:left="-851"/>
        <w:jc w:val="both"/>
        <w:rPr>
          <w:rStyle w:val="FontStyle12"/>
          <w:sz w:val="28"/>
          <w:szCs w:val="28"/>
        </w:rPr>
      </w:pPr>
      <w:r w:rsidRPr="00C309D0">
        <w:rPr>
          <w:rStyle w:val="FontStyle12"/>
          <w:sz w:val="28"/>
          <w:szCs w:val="28"/>
        </w:rPr>
        <w:t xml:space="preserve">Необходимо отметить, что с декабря 2017 года из закона Алтайского края «Об административной ответственности за совершение правонарушений на территории Алтайского края» исключена норма, ранее позволявшая органам местного самоуправления привлекать к административной ответственности за неисполнение муниципальных правовых актов. Данное изменение было принято на основании судебной и правоприменительной практики, в результате которой установлено, что отсутствие в диспозиции конкретных норм, нарушение которых является основанием для привлечения к административной ответственности, влечет правовую неопределенность и неоднозначность толкования при рассмотрении вопроса о наличии состава правонарушения. В течение 2018 года администрация города дважды обращалась в Алтайское краевое Законодательное Собрание с предложением внести конкретные составы нарушений требований муниципальных правовых актов, вместе с тем до настоящего времени какого-либо решения не принято. Таким </w:t>
      </w:r>
      <w:proofErr w:type="gramStart"/>
      <w:r w:rsidRPr="00C309D0">
        <w:rPr>
          <w:rStyle w:val="FontStyle12"/>
          <w:sz w:val="28"/>
          <w:szCs w:val="28"/>
        </w:rPr>
        <w:t>образом</w:t>
      </w:r>
      <w:proofErr w:type="gramEnd"/>
      <w:r w:rsidRPr="00C309D0">
        <w:rPr>
          <w:rStyle w:val="FontStyle12"/>
          <w:sz w:val="28"/>
          <w:szCs w:val="28"/>
        </w:rPr>
        <w:t xml:space="preserve"> на территории Алтайского края не обеспечен </w:t>
      </w:r>
      <w:r w:rsidRPr="00C309D0">
        <w:t>установленный ч.3 ст.7 Федерального закона от 06.10.2003 №131-ФЗ «Об общих принципах организации местного самоуправления в Российской Федерации» принцип обязательности исполнения муниципальных правовых актов.</w:t>
      </w:r>
    </w:p>
    <w:p w:rsidR="00C309D0" w:rsidRPr="00C309D0" w:rsidRDefault="00C309D0" w:rsidP="002951FA">
      <w:pPr>
        <w:tabs>
          <w:tab w:val="left" w:pos="9498"/>
        </w:tabs>
        <w:ind w:left="-851"/>
        <w:jc w:val="both"/>
        <w:rPr>
          <w:color w:val="000000"/>
          <w:sz w:val="28"/>
          <w:szCs w:val="28"/>
        </w:rPr>
      </w:pPr>
      <w:r w:rsidRPr="00C309D0">
        <w:rPr>
          <w:color w:val="000000"/>
          <w:sz w:val="28"/>
          <w:szCs w:val="28"/>
        </w:rPr>
        <w:t>Администрация города Барнаула активно взаимодействует с коллегами других муниципальных образований, обращает внимание на принятые ими муниципальные правовые акты, а также проводит мониторинг судебной практики.</w:t>
      </w:r>
    </w:p>
    <w:p w:rsidR="00C309D0" w:rsidRPr="00C309D0" w:rsidRDefault="00C309D0" w:rsidP="002951FA">
      <w:pPr>
        <w:pStyle w:val="Pa5"/>
        <w:tabs>
          <w:tab w:val="left" w:pos="9498"/>
        </w:tabs>
        <w:spacing w:line="240" w:lineRule="auto"/>
        <w:ind w:left="-851"/>
        <w:jc w:val="both"/>
        <w:rPr>
          <w:color w:val="000000"/>
          <w:sz w:val="28"/>
          <w:szCs w:val="28"/>
        </w:rPr>
      </w:pPr>
      <w:r w:rsidRPr="00C309D0">
        <w:rPr>
          <w:color w:val="000000"/>
          <w:sz w:val="28"/>
          <w:szCs w:val="28"/>
        </w:rPr>
        <w:t xml:space="preserve">Вместе с тем остаются нерешенными вопросы расселения ветхого и аварийного жилья. Выделяемых на эти цели денежных средств из Фонда содействия реформированию ЖКХ в рамках Федерального закона от 21.07.2007 № 185-ФЗ было крайне </w:t>
      </w:r>
      <w:proofErr w:type="gramStart"/>
      <w:r w:rsidRPr="00C309D0">
        <w:rPr>
          <w:color w:val="000000"/>
          <w:sz w:val="28"/>
          <w:szCs w:val="28"/>
        </w:rPr>
        <w:t>недостаточно</w:t>
      </w:r>
      <w:proofErr w:type="gramEnd"/>
      <w:r w:rsidRPr="00C309D0">
        <w:rPr>
          <w:color w:val="000000"/>
          <w:sz w:val="28"/>
          <w:szCs w:val="28"/>
        </w:rPr>
        <w:t xml:space="preserve"> чтобы охватить весь объем жилья, даже признанного аварийным до 2012 года. Кроме того, существуют и трудности с приобретением жилых помещений для переселяемых граждан, </w:t>
      </w:r>
      <w:proofErr w:type="gramStart"/>
      <w:r w:rsidRPr="00C309D0">
        <w:rPr>
          <w:color w:val="000000"/>
          <w:sz w:val="28"/>
          <w:szCs w:val="28"/>
        </w:rPr>
        <w:t>связанные</w:t>
      </w:r>
      <w:proofErr w:type="gramEnd"/>
      <w:r w:rsidRPr="00C309D0">
        <w:rPr>
          <w:color w:val="000000"/>
          <w:sz w:val="28"/>
          <w:szCs w:val="28"/>
        </w:rPr>
        <w:t xml:space="preserve"> прежде всего с определением стоимости квадратного метра, которая ниже рыночной, и небольшой площади квартир.</w:t>
      </w:r>
      <w:r w:rsidR="002951FA">
        <w:rPr>
          <w:color w:val="000000"/>
          <w:sz w:val="28"/>
          <w:szCs w:val="28"/>
        </w:rPr>
        <w:t xml:space="preserve"> </w:t>
      </w:r>
      <w:r w:rsidRPr="00C309D0">
        <w:rPr>
          <w:color w:val="000000"/>
          <w:sz w:val="28"/>
          <w:szCs w:val="28"/>
        </w:rPr>
        <w:t>Зачастую объявленные аукционы признаются несостоявшимися. Остро стоит вопрос реализации полномочий органов местного самоуправления в виде участия в организации деятельности по накоплению (в том числе раздельному накоплению), сбору, транспортированию, обработке, утилизации, обезвре</w:t>
      </w:r>
      <w:r w:rsidRPr="00C309D0">
        <w:rPr>
          <w:color w:val="000000"/>
          <w:sz w:val="28"/>
          <w:szCs w:val="28"/>
        </w:rPr>
        <w:softHyphen/>
        <w:t xml:space="preserve">живанию, захоронению твердых коммунальных отходов, так как нормативными правовыми </w:t>
      </w:r>
      <w:r w:rsidRPr="00C309D0">
        <w:rPr>
          <w:color w:val="000000"/>
          <w:sz w:val="28"/>
          <w:szCs w:val="28"/>
        </w:rPr>
        <w:lastRenderedPageBreak/>
        <w:t xml:space="preserve">актами не раскрывается суть данных полномочий. В связи с этим не изменяется судебная практика о возложении обязанности на органы местного самоуправления ликвидировать несанкционированные свалки. До конца не решены вопросы предоставления муниципальных услуг в электронной форме, связанные с техническими и организационными проблемами. Остаются актуальными вопросы применения на практике федеральных законов от 13.07.2015 № 224-ФЗ «О государственно-частном партнерстве, </w:t>
      </w:r>
      <w:proofErr w:type="spellStart"/>
      <w:r w:rsidRPr="00C309D0">
        <w:rPr>
          <w:color w:val="000000"/>
          <w:sz w:val="28"/>
          <w:szCs w:val="28"/>
        </w:rPr>
        <w:t>муниципально-частном</w:t>
      </w:r>
      <w:proofErr w:type="spellEnd"/>
      <w:r w:rsidRPr="00C309D0">
        <w:rPr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Федерации», от 21.07.2005 №115-ФЗ «О концессионных соглашениях». </w:t>
      </w:r>
    </w:p>
    <w:p w:rsidR="00C309D0" w:rsidRPr="00C309D0" w:rsidRDefault="00C309D0" w:rsidP="002951FA">
      <w:pPr>
        <w:pStyle w:val="Default"/>
        <w:tabs>
          <w:tab w:val="left" w:pos="9498"/>
        </w:tabs>
        <w:ind w:left="-851"/>
        <w:jc w:val="both"/>
        <w:rPr>
          <w:sz w:val="28"/>
          <w:szCs w:val="28"/>
        </w:rPr>
      </w:pPr>
      <w:r w:rsidRPr="00C309D0">
        <w:rPr>
          <w:sz w:val="28"/>
          <w:szCs w:val="28"/>
        </w:rPr>
        <w:t>Необходимо отметить положительную роль Ассоциации Сибирских и Дальневосточных городов в деятельности муниципалите</w:t>
      </w:r>
      <w:r w:rsidRPr="00C309D0">
        <w:rPr>
          <w:sz w:val="28"/>
          <w:szCs w:val="28"/>
        </w:rPr>
        <w:softHyphen/>
        <w:t xml:space="preserve">тов, которая заключается в обобщении и анализе опыта муниципальных образований в разрешении актуальных проблем правотворческой и правоприменительной деятельности. Достижению такого результата служит, в том числе, и проведение тематических мероприятий (конференций, совещаний, круглых столов и пр.), направленных на укрепление межмуниципального сотрудничества и формирование коллективной позиции органов местного самоуправления по спорным вопросам, в </w:t>
      </w:r>
      <w:proofErr w:type="gramStart"/>
      <w:r w:rsidRPr="00C309D0">
        <w:rPr>
          <w:sz w:val="28"/>
          <w:szCs w:val="28"/>
        </w:rPr>
        <w:t>связи</w:t>
      </w:r>
      <w:proofErr w:type="gramEnd"/>
      <w:r w:rsidRPr="00C309D0">
        <w:rPr>
          <w:sz w:val="28"/>
          <w:szCs w:val="28"/>
        </w:rPr>
        <w:t xml:space="preserve"> с чем предлагаем продолжить практику проведения конференций по значимым вопросам для муниципалитетов.</w:t>
      </w:r>
    </w:p>
    <w:sectPr w:rsidR="00C309D0" w:rsidRPr="00C309D0" w:rsidSect="00CB5901">
      <w:pgSz w:w="11906" w:h="16838"/>
      <w:pgMar w:top="567" w:right="709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FA" w:rsidRDefault="002951FA" w:rsidP="002951FA">
      <w:r>
        <w:separator/>
      </w:r>
    </w:p>
  </w:endnote>
  <w:endnote w:type="continuationSeparator" w:id="0">
    <w:p w:rsidR="002951FA" w:rsidRDefault="002951FA" w:rsidP="0029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FA" w:rsidRDefault="002951FA" w:rsidP="002951FA">
      <w:r>
        <w:separator/>
      </w:r>
    </w:p>
  </w:footnote>
  <w:footnote w:type="continuationSeparator" w:id="0">
    <w:p w:rsidR="002951FA" w:rsidRDefault="002951FA" w:rsidP="0029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707"/>
    <w:multiLevelType w:val="hybridMultilevel"/>
    <w:tmpl w:val="9B94F75E"/>
    <w:lvl w:ilvl="0" w:tplc="F848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B3FC9"/>
    <w:multiLevelType w:val="hybridMultilevel"/>
    <w:tmpl w:val="92EAB68C"/>
    <w:lvl w:ilvl="0" w:tplc="164A7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392"/>
    <w:rsid w:val="001C2316"/>
    <w:rsid w:val="002951FA"/>
    <w:rsid w:val="003A605A"/>
    <w:rsid w:val="004A7115"/>
    <w:rsid w:val="005329D1"/>
    <w:rsid w:val="005B53AE"/>
    <w:rsid w:val="005D18B8"/>
    <w:rsid w:val="00613E91"/>
    <w:rsid w:val="00676E6A"/>
    <w:rsid w:val="007F5E2E"/>
    <w:rsid w:val="008617B9"/>
    <w:rsid w:val="009E7966"/>
    <w:rsid w:val="00A55C4B"/>
    <w:rsid w:val="00AD1392"/>
    <w:rsid w:val="00C309D0"/>
    <w:rsid w:val="00CB5901"/>
    <w:rsid w:val="00D074C5"/>
    <w:rsid w:val="00FA26CA"/>
    <w:rsid w:val="00FA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A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3A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13E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9D0"/>
    <w:pPr>
      <w:ind w:left="720"/>
      <w:contextualSpacing/>
    </w:pPr>
  </w:style>
  <w:style w:type="paragraph" w:styleId="a7">
    <w:name w:val="No Spacing"/>
    <w:link w:val="a8"/>
    <w:uiPriority w:val="1"/>
    <w:qFormat/>
    <w:rsid w:val="00C309D0"/>
    <w:rPr>
      <w:rFonts w:eastAsia="Calibri" w:cs="Times New Roman"/>
      <w:szCs w:val="28"/>
    </w:rPr>
  </w:style>
  <w:style w:type="character" w:customStyle="1" w:styleId="a8">
    <w:name w:val="Без интервала Знак"/>
    <w:link w:val="a7"/>
    <w:uiPriority w:val="1"/>
    <w:locked/>
    <w:rsid w:val="00C309D0"/>
    <w:rPr>
      <w:rFonts w:eastAsia="Calibri" w:cs="Times New Roman"/>
      <w:szCs w:val="28"/>
    </w:rPr>
  </w:style>
  <w:style w:type="character" w:customStyle="1" w:styleId="FontStyle12">
    <w:name w:val="Font Style12"/>
    <w:basedOn w:val="a0"/>
    <w:uiPriority w:val="99"/>
    <w:rsid w:val="00C309D0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C309D0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C309D0"/>
    <w:pPr>
      <w:spacing w:line="201" w:lineRule="atLeast"/>
    </w:pPr>
    <w:rPr>
      <w:color w:val="auto"/>
    </w:rPr>
  </w:style>
  <w:style w:type="paragraph" w:customStyle="1" w:styleId="Default">
    <w:name w:val="Default"/>
    <w:rsid w:val="00C309D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51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FA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951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51FA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A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3A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13E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9D0"/>
    <w:pPr>
      <w:ind w:left="720"/>
      <w:contextualSpacing/>
    </w:pPr>
  </w:style>
  <w:style w:type="paragraph" w:styleId="a7">
    <w:name w:val="No Spacing"/>
    <w:link w:val="a8"/>
    <w:uiPriority w:val="1"/>
    <w:qFormat/>
    <w:rsid w:val="00C309D0"/>
    <w:rPr>
      <w:rFonts w:eastAsia="Calibri" w:cs="Times New Roman"/>
      <w:szCs w:val="28"/>
    </w:rPr>
  </w:style>
  <w:style w:type="character" w:customStyle="1" w:styleId="a8">
    <w:name w:val="Без интервала Знак"/>
    <w:link w:val="a7"/>
    <w:uiPriority w:val="1"/>
    <w:locked/>
    <w:rsid w:val="00C309D0"/>
    <w:rPr>
      <w:rFonts w:eastAsia="Calibri" w:cs="Times New Roman"/>
      <w:szCs w:val="28"/>
    </w:rPr>
  </w:style>
  <w:style w:type="character" w:customStyle="1" w:styleId="FontStyle12">
    <w:name w:val="Font Style12"/>
    <w:basedOn w:val="a0"/>
    <w:uiPriority w:val="99"/>
    <w:rsid w:val="00C309D0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C309D0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C309D0"/>
    <w:pPr>
      <w:spacing w:line="201" w:lineRule="atLeast"/>
    </w:pPr>
    <w:rPr>
      <w:color w:val="auto"/>
    </w:rPr>
  </w:style>
  <w:style w:type="paragraph" w:customStyle="1" w:styleId="Default">
    <w:name w:val="Default"/>
    <w:rsid w:val="00C309D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Свиридова</dc:creator>
  <cp:keywords/>
  <dc:description/>
  <cp:lastModifiedBy>user</cp:lastModifiedBy>
  <cp:revision>10</cp:revision>
  <cp:lastPrinted>2020-02-27T02:43:00Z</cp:lastPrinted>
  <dcterms:created xsi:type="dcterms:W3CDTF">2020-02-03T07:31:00Z</dcterms:created>
  <dcterms:modified xsi:type="dcterms:W3CDTF">2020-03-13T09:52:00Z</dcterms:modified>
</cp:coreProperties>
</file>