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0" w:leader="none"/>
          <w:tab w:val="left" w:pos="1134" w:leader="none"/>
        </w:tabs>
        <w:bidi w:val="0"/>
        <w:spacing w:lineRule="auto" w:line="240" w:before="0" w:after="0"/>
        <w:ind w:left="0" w:righ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АНГАРСК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 объединяет три сегмента сферы обслуживания населения: торговлю, общественное питание, бытовое обслуживание и является неотъемлемой частью повседневной жизни каждого человека. Основное направление развития потребительского рынка на территории Ангарского городского округа - наиболее полное удовлетворение спроса населения на товары, работы, услуги, обеспечение их качества и безопасности.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Розничная торговля АГО характеризуется высоким уровнем конкуренции, территориальной доступностью и бесперебойным снабжением населения продовольственными и непродовольственными товарами.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/>
      </w:pPr>
      <w:r>
        <w:rPr>
          <w:sz w:val="28"/>
          <w:szCs w:val="28"/>
        </w:rPr>
        <w:t>В розничную сеть предприятий торговли АГО по состоянию на 01.01.2021 входят 1371 предприятие, торговая площадь которых составляет 250 249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Несмотря на негативный фактор (стремительное распространение пандемии «COVID-19»), количество предприятий розничной торговли не сократилось (прекратили деятельность 6 торговых объектов, открылось 9 предприятий розничной торговли). Общее количество объектов торговли АГО, по отношению к прошлому году, увеличилось на 0,2 % (1368 предприятий по состоянию на 01.01.2020). Торговая площадь предприятий торговли достигла значения 250 249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увеличилась на 2 030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(248 219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 состоянию на 01.01.2020).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розничной торговли АГО представлена объектами различных видов: новыми современными и традиционными, давно зарекомендовавшими себя с положительной стороны, крупными гипермаркетами и небольшими магазинами </w:t>
        <w:br/>
        <w:t>«У дома».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установленный минимальный норматив обеспеченности торговыми площадями стационарных торговых объектов (в расчете на 1000 человек) - 494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фактическая обеспеченность населения АГО площадью торговых объектов – 1 056,3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(по состоянию на 01.01.2020 - 982,8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или 213,8 % от норматива. Рост за год составил – 107,5%.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/>
      </w:pPr>
      <w:r>
        <w:rPr>
          <w:sz w:val="28"/>
          <w:szCs w:val="28"/>
        </w:rPr>
        <w:t xml:space="preserve">Ожидаемый оборот розничной торговли в 2020 году составил 37 328,5 млн. руб. (в расчете на душу населения 13 130,2 руб. в месяц), по отношению к прошлому году </w:t>
        <w:br/>
        <w:t>(37</w:t>
      </w:r>
      <w:r>
        <w:rPr>
          <w:rFonts w:eastAsia="Times New Roman" w:cs="Times New Roman" w:ascii="Ubuntu" w:hAnsi="Ubuntu"/>
          <w:sz w:val="28"/>
          <w:szCs w:val="28"/>
        </w:rPr>
        <w:t xml:space="preserve"> </w:t>
      </w:r>
      <w:r>
        <w:rPr>
          <w:sz w:val="28"/>
          <w:szCs w:val="28"/>
        </w:rPr>
        <w:t>555,5 млн. руб.) снижение составит 99,4 %, в связи с непростой экономической ситуацией и ограниченностью покупательской способности населения.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увеличилась сеть торговых объектов местных сельхоз- и товаропроизводителей, обеспечивающих население собственной продукцией, в состав которой входит 254 объекта (аналогичный период прошлого года – 241).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социального проекта «Социальная политика на благо каждого жителя» в 2020 году составило 150.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социального проекта: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сдерживание роста цен на основную социальную группу товаров на потребительском рынке АГО;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социальных товаров и услуг;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оказание поддержки социально-незащищенным слоям населения.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01.01.2021 на территории АГО осуществляли деятельность 459 предприятий общественного питания на 27 074 посадочных места (в 2019 году – 504 предприятия на 29 531 посадочном месте). По отношению к предыдущему периоду количество предприятий снизилось на 8,9 %, число посадочных мест на 8,3 %. Причиной снижения стало введение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с целью недопущения заноса и распространения «COVID-19».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населения АГО предприятиями общественного питания в отчетном периоде - 114 посадочных места на 1 000 жителей (в 2019 году – 124 посадочных места на 1 000 жителей), общедоступными предприятиями – 58 посадочных места на 1 000 жителей (68 посадочных мест на 1 000 жителей в 2019 году) при нормативе обеспеченности 40 посадочных мест на 1 000 жителей.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оборот предприятий общественного питания АГО в 2020 году – 874 693 тыс. руб., (в 2019 году – 1 350 688 тыс. руб.), снижение оборота – 35 %.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01.01.2021 на территории АГО бытовые услуги для населения оказывали 1 077 предприятий, в том числе пункты приема и оформления заказов (по состоянию на 01.01.2020 – 1 057 предприятий). Рост числа предприятий бытового обслуживания населения по отношению к предыдущему периоду составил – 102 %.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отмечен незначительный рост числа объектов потребительского рынка, оказывающих парикмахерские услуги, техническое обслуживание авто-транспорта.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Рынок бытовых услуг в АГО представлен следующими основными направлениями:</w:t>
      </w:r>
    </w:p>
    <w:p>
      <w:pPr>
        <w:pStyle w:val="Normal"/>
        <w:widowControl/>
        <w:tabs>
          <w:tab w:val="left" w:pos="1134" w:leader="none"/>
          <w:tab w:val="left" w:pos="10490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Сегмент «Услуги парикмахерские» включает в себя максимальное количество предприятий бытового обслуживания населения (28,8 % от общего количества предприятий) и является наиболее востребованным у населения. </w:t>
      </w:r>
    </w:p>
    <w:p>
      <w:pPr>
        <w:pStyle w:val="Normal"/>
        <w:widowControl/>
        <w:tabs>
          <w:tab w:val="left" w:pos="0" w:leader="none"/>
          <w:tab w:val="left" w:pos="709" w:leader="none"/>
          <w:tab w:val="left" w:pos="1134" w:leader="none"/>
          <w:tab w:val="left" w:pos="10490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платные бытовые услуги населению оказывают субъекты малого и среднего предпринимательства. </w:t>
      </w:r>
    </w:p>
    <w:p>
      <w:pPr>
        <w:pStyle w:val="Normal"/>
        <w:widowControl/>
        <w:tabs>
          <w:tab w:val="left" w:pos="1134" w:leader="none"/>
          <w:tab w:val="left" w:pos="10632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Ожидаемый объем реализации платных услуг, в том числе бытовых, оказанных населению АГО в 2020 году, составит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2 146,2 млн. руб. (2019 год – 2 057,7 млн. руб.) Рост ожидаемого объема реализации платных услуг, в том числе бытовых, оказанных населению АГО в 2020 году, по отношению к предыдущему периоду составит – 104,3 %. Прогнозируемый рост объема реализации платных услуг, в том числе бытовых, произошел за счет увеличения цен на услуги.</w:t>
      </w:r>
    </w:p>
    <w:p>
      <w:pPr>
        <w:pStyle w:val="NoSpacing"/>
        <w:widowControl/>
        <w:tabs>
          <w:tab w:val="left" w:pos="1134" w:leader="none"/>
          <w:tab w:val="left" w:pos="9356" w:leader="none"/>
        </w:tabs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Защиту прав потребителей на территории АГО кроме специалистов отдела потребительского рынка осуществляют: </w:t>
      </w:r>
    </w:p>
    <w:p>
      <w:pPr>
        <w:pStyle w:val="NoSpacing"/>
        <w:widowControl/>
        <w:tabs>
          <w:tab w:val="left" w:pos="1134" w:leader="none"/>
          <w:tab w:val="left" w:pos="9356" w:leader="none"/>
        </w:tabs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территориальный отдел Управления «Роспотребнадзора» по Иркутской области в Ангарском городском муниципальном образовании, в Шелеховском и Слюдянском районах (территориальный отдел Роспотребнадзора); </w:t>
      </w:r>
    </w:p>
    <w:p>
      <w:pPr>
        <w:pStyle w:val="NoSpacing"/>
        <w:widowControl/>
        <w:tabs>
          <w:tab w:val="left" w:pos="1134" w:leader="none"/>
          <w:tab w:val="left" w:pos="9356" w:leader="none"/>
        </w:tabs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консультационный пункт по защите прав потребителей при Федеральной службе Федерального бюджетного учреждения здравоохранения «Центр гигиены и эпидемиологии» Иркутской области в городе Ангарске и Ангарском районе;</w:t>
      </w:r>
    </w:p>
    <w:p>
      <w:pPr>
        <w:pStyle w:val="NoSpacing"/>
        <w:widowControl/>
        <w:tabs>
          <w:tab w:val="left" w:pos="1134" w:leader="none"/>
          <w:tab w:val="left" w:pos="9356" w:leader="none"/>
        </w:tabs>
        <w:bidi w:val="0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общественная организация «Народный контроль» под председательством Надымова Д.В.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2020 год специалистами отдела потребительского рынка рассмотрено 268 обращений граждан по вопросам потребительского рынка и других сфер.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 году в период распространения новой коронавирусной инфекции с целью исполнения Указов Губернатора, протокольных поручений заседания оперативного штаба в АГО специалистами отдела потребительского рынка была проведена следующая работа: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средствах массовой информации, на сайте АГО в информационно-телекоммуникационной сети «Интернет» были размещены рекомендации различных органов власти по работе предприятий, соблюдению масочного режима, по принятию мер для защиты здоровья граждан и т. д.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Проведены совместные рейдовые мероприятия по контролю за соблюдением Указов Губернатора Иркутской области.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потребительском рынке АГО в 2020 году достигнуты определенные успехи: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нормативы по обеспеченности жителей АГО предприятиями потребительского рынка превышают установленные нормативы;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существует здоровая конкуренция между предприятиями потребительского рынка;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внедряются новые прогрессивные формы обслуживания покупателей и посетителей предприятий потребительского рынка.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и не решенные пока проблемы, а именно: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подготовки кадров управленческого и обслуживающего персонала;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качества и безопасности товаров, реализуемых в розничной торговой сети, в предприятиях общественного питания и при оказании услуг бытового обслуживания.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Задачи на 2021 год: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формированию развитой системы товародвижения, создающей благоприятные возможности для местных сельхоз- и товаропроизводителей;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внедрения на потребительском рынке АГО прогрессивных форм и методов торговли, направленных на повышение культуры и качества обслуживания потребителей;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повышении квалификации и профессионального мастерства работников сферы потребительского рынка;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сети социально ориентированных предприятий.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конференции (совещания) по обсуждению наиболее актуальных вопросов и решению проблем в сфере потребительского рынка считаю необходимым. 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Вопросы, предлагаемые для включения в проект плана мероприятий Ассоциации сибирских и дальневосточных городов и обсуждения: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запрете размещения в многоквартирных домах объектов общественного питания;</w:t>
      </w:r>
    </w:p>
    <w:p>
      <w:pPr>
        <w:pStyle w:val="Normal"/>
        <w:widowControl/>
        <w:tabs>
          <w:tab w:val="left" w:pos="1134" w:leader="none"/>
        </w:tabs>
        <w:bidi w:val="0"/>
        <w:spacing w:lineRule="auto" w:line="240"/>
        <w:ind w:left="0" w:right="0" w:firstLine="567"/>
        <w:jc w:val="both"/>
        <w:rPr/>
      </w:pPr>
      <w:r>
        <w:rPr>
          <w:sz w:val="28"/>
          <w:szCs w:val="28"/>
        </w:rPr>
        <w:t xml:space="preserve">- о необходимости разработки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хемы размещения мобильных объектов торговли.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buntu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7d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45ccc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d064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d064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Без интервала Знак"/>
    <w:link w:val="ab"/>
    <w:qFormat/>
    <w:rsid w:val="00f8439a"/>
    <w:rPr>
      <w:rFonts w:ascii="Calibri" w:hAnsi="Calibri" w:eastAsia="Times New Roman" w:cs="Times New Roman"/>
      <w:lang w:eastAsia="ru-RU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Times New Roman"/>
      <w:b w:val="false"/>
      <w:i w:val="false"/>
      <w:sz w:val="24"/>
      <w:szCs w:val="26"/>
    </w:rPr>
  </w:style>
  <w:style w:type="character" w:styleId="ListLabel3">
    <w:name w:val="ListLabel 3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6"/>
      <w:sz w:val="26"/>
      <w:vertAlign w:val="baseline"/>
    </w:rPr>
  </w:style>
  <w:style w:type="character" w:styleId="ListLabel4">
    <w:name w:val="ListLabel 4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sz w:val="24"/>
      <w:szCs w:val="24"/>
      <w:vertAlign w:val="baseline"/>
    </w:rPr>
  </w:style>
  <w:style w:type="character" w:styleId="ListLabel5">
    <w:name w:val="ListLabel 5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6">
    <w:name w:val="ListLabel 6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6"/>
      <w:sz w:val="26"/>
      <w:vertAlign w:val="baseline"/>
    </w:rPr>
  </w:style>
  <w:style w:type="character" w:styleId="ListLabel7">
    <w:name w:val="ListLabel 7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8">
    <w:name w:val="ListLabel 8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6"/>
      <w:sz w:val="26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10">
    <w:name w:val="ListLabel 10"/>
    <w:qFormat/>
    <w:rPr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vanish w:val="false"/>
      <w:color w:val="000000"/>
      <w:position w:val="0"/>
      <w:sz w:val="26"/>
      <w:sz w:val="26"/>
      <w:vertAlign w:val="baseline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Calibri" w:cs="Times New Roman"/>
    </w:rPr>
  </w:style>
  <w:style w:type="character" w:styleId="ListLabel19">
    <w:name w:val="ListLabel 19"/>
    <w:qFormat/>
    <w:rPr>
      <w:rFonts w:eastAsia="Calibri" w:cs="Times New Roman"/>
      <w:b w:val="false"/>
    </w:rPr>
  </w:style>
  <w:style w:type="character" w:styleId="ListLabel20">
    <w:name w:val="ListLabel 20"/>
    <w:qFormat/>
    <w:rPr>
      <w:rFonts w:eastAsia="Calibri" w:cs="Times New Roman"/>
    </w:rPr>
  </w:style>
  <w:style w:type="character" w:styleId="ListLabel21">
    <w:name w:val="ListLabel 21"/>
    <w:qFormat/>
    <w:rPr>
      <w:rFonts w:eastAsia="Calibri" w:cs="Times New Roman"/>
    </w:rPr>
  </w:style>
  <w:style w:type="character" w:styleId="ListLabel22">
    <w:name w:val="ListLabel 22"/>
    <w:qFormat/>
    <w:rPr>
      <w:rFonts w:eastAsia="Calibri" w:cs="Times New Roman"/>
    </w:rPr>
  </w:style>
  <w:style w:type="character" w:styleId="ListLabel23">
    <w:name w:val="ListLabel 23"/>
    <w:qFormat/>
    <w:rPr>
      <w:rFonts w:eastAsia="Calibri" w:cs="Times New Roman"/>
    </w:rPr>
  </w:style>
  <w:style w:type="character" w:styleId="ListLabel24">
    <w:name w:val="ListLabel 24"/>
    <w:qFormat/>
    <w:rPr>
      <w:rFonts w:eastAsia="Calibri" w:cs="Times New Roman"/>
    </w:rPr>
  </w:style>
  <w:style w:type="character" w:styleId="ListLabel25">
    <w:name w:val="ListLabel 25"/>
    <w:qFormat/>
    <w:rPr>
      <w:rFonts w:eastAsia="Calibri" w:cs="Times New Roman"/>
    </w:rPr>
  </w:style>
  <w:style w:type="character" w:styleId="ListLabel26">
    <w:name w:val="ListLabel 26"/>
    <w:qFormat/>
    <w:rPr>
      <w:rFonts w:eastAsia="Calibri" w:cs="Times New Roman"/>
    </w:rPr>
  </w:style>
  <w:style w:type="character" w:styleId="ListLabel27">
    <w:name w:val="ListLabel 27"/>
    <w:qFormat/>
    <w:rPr>
      <w:color w:val="auto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0"/>
      <w:sz w:val="20"/>
      <w:szCs w:val="20"/>
      <w:vertAlign w:val="baseline"/>
    </w:rPr>
  </w:style>
  <w:style w:type="character" w:styleId="ListLabel44">
    <w:name w:val="ListLabel 44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sz w:val="24"/>
      <w:szCs w:val="24"/>
      <w:vertAlign w:val="baseline"/>
    </w:rPr>
  </w:style>
  <w:style w:type="character" w:styleId="ListLabel45">
    <w:name w:val="ListLabel 45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46">
    <w:name w:val="ListLabel 46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6"/>
      <w:sz w:val="26"/>
      <w:vertAlign w:val="baseline"/>
    </w:rPr>
  </w:style>
  <w:style w:type="character" w:styleId="ListLabel47">
    <w:name w:val="ListLabel 47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48">
    <w:name w:val="ListLabel 48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6"/>
      <w:sz w:val="26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vanish w:val="false"/>
      <w:color w:val="auto"/>
      <w:position w:val="0"/>
      <w:sz w:val="24"/>
      <w:sz w:val="24"/>
      <w:szCs w:val="24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vanish w:val="false"/>
      <w:color w:val="000000"/>
      <w:position w:val="0"/>
      <w:sz w:val="26"/>
      <w:sz w:val="26"/>
      <w:vertAlign w:val="baseline"/>
    </w:rPr>
  </w:style>
  <w:style w:type="character" w:styleId="ListLabel52">
    <w:name w:val="ListLabel 52"/>
    <w:qFormat/>
    <w:rPr>
      <w:rFonts w:eastAsia="Calibri" w:cs="Times New Roman"/>
      <w:color w:val="auto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0"/>
      <w:sz w:val="20"/>
      <w:szCs w:val="20"/>
      <w:vertAlign w:val="baseline"/>
    </w:rPr>
  </w:style>
  <w:style w:type="character" w:styleId="ListLabel99">
    <w:name w:val="ListLabel 99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4"/>
      <w:sz w:val="24"/>
      <w:szCs w:val="24"/>
      <w:vertAlign w:val="baseline"/>
    </w:rPr>
  </w:style>
  <w:style w:type="character" w:styleId="ListLabel100">
    <w:name w:val="ListLabel 100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101">
    <w:name w:val="ListLabel 101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6"/>
      <w:sz w:val="26"/>
      <w:vertAlign w:val="baseline"/>
    </w:rPr>
  </w:style>
  <w:style w:type="character" w:styleId="ListLabel102">
    <w:name w:val="ListLabel 102"/>
    <w:qFormat/>
    <w:rPr>
      <w:b w:val="false"/>
      <w:i w:val="false"/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103">
    <w:name w:val="ListLabel 103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6"/>
      <w:sz w:val="26"/>
      <w:vertAlign w:val="baseline"/>
    </w:rPr>
  </w:style>
  <w:style w:type="character" w:styleId="ListLabel104">
    <w:name w:val="ListLabel 104"/>
    <w:qFormat/>
    <w:rPr>
      <w:caps w:val="false"/>
      <w:smallCaps w:val="false"/>
      <w:strike w:val="false"/>
      <w:dstrike w:val="false"/>
      <w:vanish w:val="false"/>
      <w:color w:val="auto"/>
      <w:position w:val="0"/>
      <w:sz w:val="24"/>
      <w:sz w:val="24"/>
      <w:szCs w:val="24"/>
      <w:vertAlign w:val="baseline"/>
    </w:rPr>
  </w:style>
  <w:style w:type="character" w:styleId="ListLabel105">
    <w:name w:val="ListLabel 105"/>
    <w:qFormat/>
    <w:rPr>
      <w:caps w:val="false"/>
      <w:smallCaps w:val="false"/>
      <w:strike w:val="false"/>
      <w:dstrike w:val="false"/>
      <w:vanish w:val="false"/>
      <w:color w:val="auto"/>
      <w:position w:val="0"/>
      <w:sz w:val="26"/>
      <w:sz w:val="26"/>
      <w:vertAlign w:val="baseline"/>
    </w:rPr>
  </w:style>
  <w:style w:type="character" w:styleId="ListLabel106">
    <w:name w:val="ListLabel 106"/>
    <w:qFormat/>
    <w:rPr>
      <w:caps w:val="false"/>
      <w:smallCaps w:val="false"/>
      <w:strike w:val="false"/>
      <w:dstrike w:val="false"/>
      <w:vanish w:val="false"/>
      <w:color w:val="000000"/>
      <w:position w:val="0"/>
      <w:sz w:val="26"/>
      <w:sz w:val="26"/>
      <w:vertAlign w:val="baselin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" w:customStyle="1">
    <w:name w:val="Стиль 1."/>
    <w:basedOn w:val="Normal"/>
    <w:qFormat/>
    <w:rsid w:val="00bd7d18"/>
    <w:pPr>
      <w:jc w:val="both"/>
    </w:pPr>
    <w:rPr>
      <w:sz w:val="26"/>
    </w:rPr>
  </w:style>
  <w:style w:type="paragraph" w:styleId="11" w:customStyle="1">
    <w:name w:val="Стиль 1.1."/>
    <w:basedOn w:val="Normal"/>
    <w:qFormat/>
    <w:rsid w:val="00bd7d18"/>
    <w:pPr>
      <w:jc w:val="both"/>
    </w:pPr>
    <w:rPr>
      <w:sz w:val="26"/>
    </w:rPr>
  </w:style>
  <w:style w:type="paragraph" w:styleId="111" w:customStyle="1">
    <w:name w:val="Стиль 1.1.1."/>
    <w:basedOn w:val="Normal"/>
    <w:qFormat/>
    <w:rsid w:val="00bd7d18"/>
    <w:pPr>
      <w:jc w:val="both"/>
    </w:pPr>
    <w:rPr>
      <w:sz w:val="26"/>
    </w:rPr>
  </w:style>
  <w:style w:type="paragraph" w:styleId="1111" w:customStyle="1">
    <w:name w:val="Стиль 1.1.1.1."/>
    <w:basedOn w:val="Normal"/>
    <w:qFormat/>
    <w:rsid w:val="00bd7d18"/>
    <w:pPr>
      <w:jc w:val="both"/>
    </w:pPr>
    <w:rPr>
      <w:sz w:val="26"/>
    </w:rPr>
  </w:style>
  <w:style w:type="paragraph" w:styleId="12" w:customStyle="1">
    <w:name w:val="Стиль ппп_1)"/>
    <w:basedOn w:val="Normal"/>
    <w:qFormat/>
    <w:rsid w:val="00bd7d18"/>
    <w:pPr>
      <w:jc w:val="both"/>
    </w:pPr>
    <w:rPr>
      <w:sz w:val="26"/>
    </w:rPr>
  </w:style>
  <w:style w:type="paragraph" w:styleId="Style23" w:customStyle="1">
    <w:name w:val="Стиль ппп_а)"/>
    <w:basedOn w:val="Normal"/>
    <w:qFormat/>
    <w:rsid w:val="00bd7d18"/>
    <w:pPr>
      <w:jc w:val="both"/>
    </w:pPr>
    <w:rPr>
      <w:sz w:val="26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45cc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314"/>
    <w:pPr>
      <w:spacing w:before="0" w:after="0"/>
      <w:ind w:left="720" w:hanging="0"/>
      <w:contextualSpacing/>
    </w:pPr>
    <w:rPr/>
  </w:style>
  <w:style w:type="paragraph" w:styleId="Style24">
    <w:name w:val="Header"/>
    <w:basedOn w:val="Normal"/>
    <w:link w:val="a8"/>
    <w:uiPriority w:val="99"/>
    <w:unhideWhenUsed/>
    <w:rsid w:val="00d06439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d06439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36689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link w:val="ac"/>
    <w:qFormat/>
    <w:rsid w:val="00f8439a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3221-45BC-4F49-9810-B3086E53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Application>LibreOffice/6.0.7.3$Linux_X86_64 LibreOffice_project/00m0$Build-3</Application>
  <Pages>3</Pages>
  <Words>1016</Words>
  <Characters>6984</Characters>
  <CharactersWithSpaces>7984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2021-02-03T02:41:00Z</dcterms:created>
  <dc:creator>Ступина Вероника Сергеевна</dc:creator>
  <dc:description/>
  <dc:language>ru-RU</dc:language>
  <cp:lastModifiedBy/>
  <cp:lastPrinted>2021-02-17T09:12:00Z</cp:lastPrinted>
  <dcterms:modified xsi:type="dcterms:W3CDTF">2021-03-16T13:39:03Z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