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88" w:rsidRPr="00371540" w:rsidRDefault="00371540" w:rsidP="00371540">
      <w:pPr>
        <w:jc w:val="both"/>
        <w:rPr>
          <w:b/>
          <w:sz w:val="28"/>
          <w:szCs w:val="28"/>
        </w:rPr>
      </w:pPr>
      <w:bookmarkStart w:id="0" w:name="_Toc62919443"/>
      <w:r w:rsidRPr="00371540">
        <w:rPr>
          <w:b/>
          <w:sz w:val="28"/>
          <w:szCs w:val="28"/>
        </w:rPr>
        <w:t>ЧЕРЕМХОВО</w:t>
      </w:r>
    </w:p>
    <w:p w:rsidR="00372688" w:rsidRPr="00371540" w:rsidRDefault="00372688" w:rsidP="00371540">
      <w:pPr>
        <w:keepNext/>
        <w:keepLines/>
        <w:jc w:val="both"/>
        <w:rPr>
          <w:rFonts w:eastAsiaTheme="majorEastAsia"/>
          <w:bCs/>
          <w:sz w:val="28"/>
          <w:szCs w:val="28"/>
        </w:rPr>
      </w:pPr>
      <w:r w:rsidRPr="00371540">
        <w:rPr>
          <w:rFonts w:eastAsiaTheme="majorEastAsia"/>
          <w:bCs/>
          <w:sz w:val="28"/>
          <w:szCs w:val="28"/>
        </w:rPr>
        <w:t>Розничная и оптовая торговля</w:t>
      </w:r>
      <w:bookmarkEnd w:id="0"/>
    </w:p>
    <w:p w:rsidR="00372688" w:rsidRPr="00371540" w:rsidRDefault="00372688" w:rsidP="00371540">
      <w:pPr>
        <w:jc w:val="both"/>
        <w:rPr>
          <w:sz w:val="28"/>
          <w:szCs w:val="28"/>
        </w:rPr>
      </w:pPr>
      <w:r w:rsidRPr="00371540">
        <w:rPr>
          <w:sz w:val="28"/>
          <w:szCs w:val="28"/>
        </w:rPr>
        <w:t>Оборот розничной торговли по муниципальному образованию «город Черемхово» за 12 месяцев 2020 года составил 6 285,7 млн. руб</w:t>
      </w:r>
      <w:r w:rsidR="000F2271" w:rsidRPr="00371540">
        <w:rPr>
          <w:sz w:val="28"/>
          <w:szCs w:val="28"/>
        </w:rPr>
        <w:t>лей</w:t>
      </w:r>
      <w:r w:rsidRPr="00371540">
        <w:rPr>
          <w:sz w:val="28"/>
          <w:szCs w:val="28"/>
        </w:rPr>
        <w:t xml:space="preserve"> или 96,3% к аналогичному периоду 2019 года (6 527,2</w:t>
      </w:r>
      <w:r w:rsidR="000F2271" w:rsidRPr="00371540">
        <w:rPr>
          <w:sz w:val="28"/>
          <w:szCs w:val="28"/>
        </w:rPr>
        <w:t xml:space="preserve"> млн. рублей</w:t>
      </w:r>
      <w:r w:rsidRPr="00371540">
        <w:rPr>
          <w:rStyle w:val="aa"/>
          <w:sz w:val="28"/>
          <w:szCs w:val="28"/>
        </w:rPr>
        <w:footnoteReference w:id="1"/>
      </w:r>
      <w:r w:rsidRPr="00371540">
        <w:rPr>
          <w:sz w:val="28"/>
          <w:szCs w:val="28"/>
        </w:rPr>
        <w:t>).</w:t>
      </w:r>
    </w:p>
    <w:p w:rsidR="00372688" w:rsidRPr="00371540" w:rsidRDefault="00372688" w:rsidP="00371540">
      <w:pPr>
        <w:jc w:val="both"/>
        <w:rPr>
          <w:sz w:val="28"/>
          <w:szCs w:val="28"/>
        </w:rPr>
      </w:pPr>
      <w:r w:rsidRPr="00371540">
        <w:rPr>
          <w:sz w:val="28"/>
          <w:szCs w:val="28"/>
        </w:rPr>
        <w:t>Торговая сеть города обеспечивает устойчивое снабжение жителей всеми необходимыми товарами.</w:t>
      </w:r>
    </w:p>
    <w:p w:rsidR="00372688" w:rsidRPr="00371540" w:rsidRDefault="00372688" w:rsidP="00371540">
      <w:pPr>
        <w:jc w:val="both"/>
        <w:rPr>
          <w:sz w:val="28"/>
          <w:szCs w:val="28"/>
        </w:rPr>
      </w:pPr>
      <w:proofErr w:type="gramStart"/>
      <w:r w:rsidRPr="00371540">
        <w:rPr>
          <w:sz w:val="28"/>
          <w:szCs w:val="28"/>
        </w:rPr>
        <w:t>По состоянию на 1 января 2021 года в розничной торговой сети муниципального образования функционирует 316 магазинов (на 10 магазинов больше в сравнении с данными на 1 января 2020 года), 18 торговых комплексов (данные за год не изменились), 7 торговых центров (на 1 больше в сравнении данными на 1 января 2020 года), 76 объектов нестационарной торговли различных форм собственности (на 8</w:t>
      </w:r>
      <w:proofErr w:type="gramEnd"/>
      <w:r w:rsidRPr="00371540">
        <w:rPr>
          <w:sz w:val="28"/>
          <w:szCs w:val="28"/>
        </w:rPr>
        <w:t xml:space="preserve"> объектов меньше в сравнении с данными на 1 января 2020 года).</w:t>
      </w:r>
    </w:p>
    <w:p w:rsidR="00372688" w:rsidRPr="00371540" w:rsidRDefault="00372688" w:rsidP="00371540">
      <w:pPr>
        <w:jc w:val="both"/>
        <w:rPr>
          <w:sz w:val="28"/>
          <w:szCs w:val="28"/>
        </w:rPr>
      </w:pPr>
    </w:p>
    <w:p w:rsidR="00372688" w:rsidRPr="00371540" w:rsidRDefault="00372688" w:rsidP="00371540">
      <w:pPr>
        <w:jc w:val="both"/>
        <w:rPr>
          <w:sz w:val="28"/>
          <w:szCs w:val="28"/>
        </w:rPr>
      </w:pPr>
      <w:r w:rsidRPr="00371540">
        <w:rPr>
          <w:sz w:val="28"/>
          <w:szCs w:val="28"/>
        </w:rPr>
        <w:t>Структура розничной торговой сети города Черемхово</w:t>
      </w:r>
    </w:p>
    <w:p w:rsidR="00372688" w:rsidRPr="00371540" w:rsidRDefault="00372688" w:rsidP="00371540">
      <w:pPr>
        <w:jc w:val="both"/>
        <w:rPr>
          <w:sz w:val="28"/>
          <w:szCs w:val="28"/>
        </w:rPr>
      </w:pPr>
      <w:r w:rsidRPr="00371540">
        <w:rPr>
          <w:noProof/>
          <w:sz w:val="28"/>
          <w:szCs w:val="28"/>
        </w:rPr>
        <w:drawing>
          <wp:anchor distT="0" distB="0" distL="114300" distR="114300" simplePos="0" relativeHeight="251659264" behindDoc="1" locked="0" layoutInCell="1" allowOverlap="1" wp14:anchorId="22B52919" wp14:editId="1AF661D3">
            <wp:simplePos x="0" y="0"/>
            <wp:positionH relativeFrom="column">
              <wp:posOffset>-252739</wp:posOffset>
            </wp:positionH>
            <wp:positionV relativeFrom="paragraph">
              <wp:posOffset>197343</wp:posOffset>
            </wp:positionV>
            <wp:extent cx="5753100" cy="2266950"/>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371540">
        <w:rPr>
          <w:sz w:val="28"/>
          <w:szCs w:val="28"/>
        </w:rPr>
        <w:t>по состоянию на 1 января 2021 года</w:t>
      </w:r>
      <w:r w:rsidRPr="00371540">
        <w:rPr>
          <w:sz w:val="28"/>
          <w:szCs w:val="28"/>
        </w:rPr>
        <w:tab/>
      </w:r>
    </w:p>
    <w:p w:rsidR="00372688" w:rsidRPr="00371540" w:rsidRDefault="00372688" w:rsidP="00371540">
      <w:pPr>
        <w:tabs>
          <w:tab w:val="left" w:pos="2066"/>
        </w:tabs>
        <w:jc w:val="both"/>
        <w:rPr>
          <w:sz w:val="28"/>
          <w:szCs w:val="28"/>
        </w:rPr>
      </w:pPr>
    </w:p>
    <w:p w:rsidR="00372688" w:rsidRPr="00371540" w:rsidRDefault="00372688" w:rsidP="00371540">
      <w:pPr>
        <w:tabs>
          <w:tab w:val="left" w:pos="6209"/>
        </w:tabs>
        <w:jc w:val="both"/>
        <w:rPr>
          <w:sz w:val="28"/>
          <w:szCs w:val="28"/>
        </w:rPr>
      </w:pPr>
      <w:r w:rsidRPr="00371540">
        <w:rPr>
          <w:sz w:val="28"/>
          <w:szCs w:val="28"/>
        </w:rPr>
        <w:tab/>
      </w: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highlight w:val="yellow"/>
        </w:rPr>
      </w:pPr>
    </w:p>
    <w:p w:rsidR="00372688" w:rsidRPr="00371540" w:rsidRDefault="00372688" w:rsidP="00371540">
      <w:pPr>
        <w:jc w:val="both"/>
        <w:rPr>
          <w:sz w:val="28"/>
          <w:szCs w:val="28"/>
        </w:rPr>
      </w:pPr>
      <w:r w:rsidRPr="00371540">
        <w:rPr>
          <w:sz w:val="28"/>
          <w:szCs w:val="28"/>
        </w:rPr>
        <w:t>Фактическая обеспеченность населения торговыми площадями по состоянию на 1 января 2021 года составила 873,8 кв. метров на 1000 жителей при утвержденном нормативе минимальной обеспеченности населения площадью торговых объектов в 443 кв. метра на 1000 жителей, что составляет 197,25% от нормы.</w:t>
      </w:r>
    </w:p>
    <w:p w:rsidR="00372688" w:rsidRPr="00371540" w:rsidRDefault="00372688" w:rsidP="00371540">
      <w:pPr>
        <w:jc w:val="both"/>
        <w:rPr>
          <w:sz w:val="28"/>
          <w:szCs w:val="28"/>
        </w:rPr>
      </w:pPr>
      <w:r w:rsidRPr="00371540">
        <w:rPr>
          <w:sz w:val="28"/>
          <w:szCs w:val="28"/>
        </w:rPr>
        <w:t>На территории муниципального образования сформирована торговая сеть, которая по состоянию на 1 января 2021 года насчитывает 15 оптовых и мелкооптовых предприятий, из них 12 предприятий продовольственной направленности. Город имеет планомерно пополняемый запас продовольствия. Оптовый продовольственный комплекс города функционирует стабильно, но обеспечивает не более 20% местных розничных предприятий. Основная часть поставок продукции осуществляется оптовыми предприятиями г. Иркутска.</w:t>
      </w:r>
    </w:p>
    <w:p w:rsidR="00372688" w:rsidRPr="00371540" w:rsidRDefault="00372688" w:rsidP="00371540">
      <w:pPr>
        <w:jc w:val="both"/>
        <w:rPr>
          <w:sz w:val="28"/>
          <w:szCs w:val="28"/>
        </w:rPr>
      </w:pPr>
      <w:r w:rsidRPr="00371540">
        <w:rPr>
          <w:sz w:val="28"/>
          <w:szCs w:val="28"/>
        </w:rPr>
        <w:t>В целях сдерживания роста цен на основные продукты питания отделом торговли осуществлялись следующие меры:</w:t>
      </w:r>
    </w:p>
    <w:p w:rsidR="00372688" w:rsidRPr="00371540" w:rsidRDefault="00372688" w:rsidP="00371540">
      <w:pPr>
        <w:jc w:val="both"/>
        <w:rPr>
          <w:sz w:val="28"/>
          <w:szCs w:val="28"/>
        </w:rPr>
      </w:pPr>
      <w:r w:rsidRPr="00371540">
        <w:rPr>
          <w:sz w:val="28"/>
          <w:szCs w:val="28"/>
        </w:rPr>
        <w:t>- создание условий по реализации товаров местных производителей и сельскохозяйственной продукции на специально выделенных площадках и на территории МУП «Центральный торговый комплекс»;</w:t>
      </w:r>
    </w:p>
    <w:p w:rsidR="00372688" w:rsidRPr="00371540" w:rsidRDefault="00372688" w:rsidP="00371540">
      <w:pPr>
        <w:jc w:val="both"/>
        <w:rPr>
          <w:sz w:val="28"/>
          <w:szCs w:val="28"/>
        </w:rPr>
      </w:pPr>
      <w:r w:rsidRPr="00371540">
        <w:rPr>
          <w:sz w:val="28"/>
          <w:szCs w:val="28"/>
        </w:rPr>
        <w:t>- проведение ярмарочных мероприятий.</w:t>
      </w:r>
    </w:p>
    <w:p w:rsidR="00372688" w:rsidRPr="00371540" w:rsidRDefault="00372688" w:rsidP="00371540">
      <w:pPr>
        <w:jc w:val="both"/>
        <w:rPr>
          <w:sz w:val="28"/>
          <w:szCs w:val="28"/>
        </w:rPr>
      </w:pPr>
      <w:r w:rsidRPr="00371540">
        <w:rPr>
          <w:sz w:val="28"/>
          <w:szCs w:val="28"/>
        </w:rPr>
        <w:t xml:space="preserve">Всего за 2020 год проведено 5 тематических ярмарок и 66 сельскохозяйственных ярмарок, на которых было организовано 1950 торговых мест, из них 52 ярмарки </w:t>
      </w:r>
      <w:r w:rsidRPr="00371540">
        <w:rPr>
          <w:sz w:val="28"/>
          <w:szCs w:val="28"/>
        </w:rPr>
        <w:lastRenderedPageBreak/>
        <w:t>«выходного дня» по продаже сельскохозяйственной продукции, на которых было организовано 808 торговых мест, в том числе:</w:t>
      </w:r>
    </w:p>
    <w:p w:rsidR="00372688" w:rsidRPr="00371540" w:rsidRDefault="00372688" w:rsidP="00371540">
      <w:pPr>
        <w:jc w:val="both"/>
        <w:rPr>
          <w:sz w:val="28"/>
          <w:szCs w:val="28"/>
        </w:rPr>
      </w:pPr>
      <w:r w:rsidRPr="00371540">
        <w:rPr>
          <w:sz w:val="28"/>
          <w:szCs w:val="28"/>
        </w:rPr>
        <w:t xml:space="preserve">1. «Первый шаг к урожаю», участие приняли 3 организации. </w:t>
      </w:r>
    </w:p>
    <w:p w:rsidR="00372688" w:rsidRPr="00371540" w:rsidRDefault="00372688" w:rsidP="00371540">
      <w:pPr>
        <w:jc w:val="both"/>
        <w:rPr>
          <w:sz w:val="28"/>
          <w:szCs w:val="28"/>
        </w:rPr>
      </w:pPr>
      <w:r w:rsidRPr="00371540">
        <w:rPr>
          <w:sz w:val="28"/>
          <w:szCs w:val="28"/>
        </w:rPr>
        <w:t>2. В период проведения мероприятий по празднованию «Масленицы» организованы две ярмарки «Масленичная» на пл. Ленина и на площади около МБУК ДК имени «Горького». В ярмарках приняли участие 29 организаций разных форм собственности.</w:t>
      </w:r>
    </w:p>
    <w:p w:rsidR="00372688" w:rsidRPr="00371540" w:rsidRDefault="00372688" w:rsidP="00371540">
      <w:pPr>
        <w:jc w:val="both"/>
        <w:rPr>
          <w:sz w:val="28"/>
          <w:szCs w:val="28"/>
        </w:rPr>
      </w:pPr>
      <w:r w:rsidRPr="00371540">
        <w:rPr>
          <w:sz w:val="28"/>
          <w:szCs w:val="28"/>
        </w:rPr>
        <w:t>3. Ярмарка «Дары осени», приняли участие 22 организации различных форм собственности и граждане, занимающиеся садоводством и огородничеством.</w:t>
      </w:r>
    </w:p>
    <w:p w:rsidR="00372688" w:rsidRPr="00371540" w:rsidRDefault="00372688" w:rsidP="00371540">
      <w:pPr>
        <w:jc w:val="both"/>
        <w:rPr>
          <w:sz w:val="28"/>
          <w:szCs w:val="28"/>
        </w:rPr>
      </w:pPr>
      <w:r w:rsidRPr="00371540">
        <w:rPr>
          <w:sz w:val="28"/>
          <w:szCs w:val="28"/>
        </w:rPr>
        <w:t>4. «Социальная» – праздничная ярмарка, приуроченная ко Дню пожилого человека. В ней приняли участие 25 представителей из числа крупных региональных и местных товаропроизводителей, реализующих собственную продукцию, индивидуальных предпринимателей, участников клуба рукодельниц. Товары были представлены по отпускным и социальным ценам. Так же в этот день была организована традиционная акция, в которой приняли участие 17 парикмахерских города и 5 мастерских по ремонту обуви, обслуживая пенсионеров со скидкой от 25 до 50%. Всего в день проведения акции было обслужено 124 человека на сумму 23 950 рублей.</w:t>
      </w:r>
    </w:p>
    <w:p w:rsidR="00372688" w:rsidRPr="00371540" w:rsidRDefault="00372688" w:rsidP="00371540">
      <w:pPr>
        <w:keepNext/>
        <w:keepLines/>
        <w:jc w:val="both"/>
        <w:rPr>
          <w:rFonts w:eastAsiaTheme="majorEastAsia"/>
          <w:bCs/>
          <w:sz w:val="28"/>
          <w:szCs w:val="28"/>
        </w:rPr>
      </w:pPr>
      <w:bookmarkStart w:id="1" w:name="_Toc62919445"/>
      <w:r w:rsidRPr="00371540">
        <w:rPr>
          <w:rFonts w:eastAsiaTheme="majorEastAsia"/>
          <w:bCs/>
          <w:sz w:val="28"/>
          <w:szCs w:val="28"/>
        </w:rPr>
        <w:t>Общественное питание</w:t>
      </w:r>
      <w:bookmarkEnd w:id="1"/>
    </w:p>
    <w:p w:rsidR="00372688" w:rsidRPr="00371540" w:rsidRDefault="00372688" w:rsidP="00371540">
      <w:pPr>
        <w:jc w:val="both"/>
        <w:rPr>
          <w:sz w:val="28"/>
          <w:szCs w:val="28"/>
        </w:rPr>
      </w:pPr>
      <w:r w:rsidRPr="00371540">
        <w:rPr>
          <w:sz w:val="28"/>
          <w:szCs w:val="28"/>
        </w:rPr>
        <w:t>По состоянию на 1 января 2021 года в городе Черемхово осуществляют деятельность в сфере общественного питания 60 предприятий с общим количеством посадочных мест – 3543, в том числе 36 общедоступных предприятия общественного питания на 1780 посадочных мест, из них: 4 ресторана, 26 кафе, 3 столовые, 1 буфет, 2 бара.</w:t>
      </w:r>
    </w:p>
    <w:p w:rsidR="00372688" w:rsidRPr="00371540" w:rsidRDefault="00372688" w:rsidP="00371540">
      <w:pPr>
        <w:jc w:val="both"/>
        <w:rPr>
          <w:sz w:val="28"/>
          <w:szCs w:val="28"/>
        </w:rPr>
      </w:pPr>
      <w:r w:rsidRPr="00371540">
        <w:rPr>
          <w:sz w:val="28"/>
          <w:szCs w:val="28"/>
        </w:rPr>
        <w:t>Оборот общественного питания за 12 месяцев 2020 года составил 102,2</w:t>
      </w:r>
      <w:r w:rsidR="000F2271" w:rsidRPr="00371540">
        <w:rPr>
          <w:sz w:val="28"/>
          <w:szCs w:val="28"/>
        </w:rPr>
        <w:t xml:space="preserve"> млн. рублей</w:t>
      </w:r>
      <w:r w:rsidRPr="00371540">
        <w:rPr>
          <w:sz w:val="28"/>
          <w:szCs w:val="28"/>
        </w:rPr>
        <w:t xml:space="preserve"> или 69,7% к аналогичному периоду 2019 года (147,0 млн. руб</w:t>
      </w:r>
      <w:r w:rsidR="000F2271" w:rsidRPr="00371540">
        <w:rPr>
          <w:sz w:val="28"/>
          <w:szCs w:val="28"/>
        </w:rPr>
        <w:t>лей</w:t>
      </w:r>
      <w:r w:rsidRPr="00371540">
        <w:rPr>
          <w:rStyle w:val="aa"/>
          <w:sz w:val="28"/>
          <w:szCs w:val="28"/>
        </w:rPr>
        <w:footnoteReference w:id="2"/>
      </w:r>
      <w:r w:rsidRPr="00371540">
        <w:rPr>
          <w:sz w:val="28"/>
          <w:szCs w:val="28"/>
        </w:rPr>
        <w:t>).</w:t>
      </w:r>
    </w:p>
    <w:p w:rsidR="00372688" w:rsidRPr="00371540" w:rsidRDefault="00372688" w:rsidP="00371540">
      <w:pPr>
        <w:keepNext/>
        <w:keepLines/>
        <w:jc w:val="both"/>
        <w:rPr>
          <w:rFonts w:eastAsiaTheme="majorEastAsia"/>
          <w:bCs/>
          <w:sz w:val="28"/>
          <w:szCs w:val="28"/>
        </w:rPr>
      </w:pPr>
      <w:bookmarkStart w:id="2" w:name="_Toc62919446"/>
      <w:r w:rsidRPr="00371540">
        <w:rPr>
          <w:rFonts w:eastAsiaTheme="majorEastAsia"/>
          <w:bCs/>
          <w:sz w:val="28"/>
          <w:szCs w:val="28"/>
        </w:rPr>
        <w:t>Производственная сфера</w:t>
      </w:r>
      <w:bookmarkEnd w:id="2"/>
    </w:p>
    <w:p w:rsidR="00372688" w:rsidRPr="00371540" w:rsidRDefault="00372688" w:rsidP="00371540">
      <w:pPr>
        <w:jc w:val="both"/>
        <w:rPr>
          <w:sz w:val="28"/>
          <w:szCs w:val="28"/>
        </w:rPr>
      </w:pPr>
      <w:r w:rsidRPr="00371540">
        <w:rPr>
          <w:sz w:val="28"/>
          <w:szCs w:val="28"/>
        </w:rPr>
        <w:t>По состоянию на 1 января 2021 года на территории города функционируют:</w:t>
      </w:r>
    </w:p>
    <w:p w:rsidR="00372688" w:rsidRPr="00371540" w:rsidRDefault="00372688" w:rsidP="00371540">
      <w:pPr>
        <w:jc w:val="both"/>
        <w:rPr>
          <w:sz w:val="28"/>
          <w:szCs w:val="28"/>
        </w:rPr>
      </w:pPr>
      <w:r w:rsidRPr="00371540">
        <w:rPr>
          <w:sz w:val="28"/>
          <w:szCs w:val="28"/>
        </w:rPr>
        <w:t>- 4 предприятия по производству промышленных товаров потребительского назначения: ИП Огурцова М.В. (швейные изделия), ИП Ефремов А.И., ИП Алиев М.Н., ООО «Фабрика Мебель Дом» (производство мебели);</w:t>
      </w:r>
    </w:p>
    <w:p w:rsidR="00372688" w:rsidRPr="00371540" w:rsidRDefault="00372688" w:rsidP="00371540">
      <w:pPr>
        <w:jc w:val="both"/>
        <w:rPr>
          <w:sz w:val="28"/>
          <w:szCs w:val="28"/>
        </w:rPr>
      </w:pPr>
      <w:r w:rsidRPr="00371540">
        <w:rPr>
          <w:sz w:val="28"/>
          <w:szCs w:val="28"/>
        </w:rPr>
        <w:t>- 6 предприятий по производству хлеба, хлебобулочных и кондитерских изделий;</w:t>
      </w:r>
    </w:p>
    <w:p w:rsidR="00372688" w:rsidRPr="00371540" w:rsidRDefault="00372688" w:rsidP="00371540">
      <w:pPr>
        <w:jc w:val="both"/>
        <w:rPr>
          <w:sz w:val="28"/>
          <w:szCs w:val="28"/>
        </w:rPr>
      </w:pPr>
      <w:r w:rsidRPr="00371540">
        <w:rPr>
          <w:sz w:val="28"/>
          <w:szCs w:val="28"/>
        </w:rPr>
        <w:t>- 1 цех по производству карамели.</w:t>
      </w:r>
    </w:p>
    <w:p w:rsidR="00372688" w:rsidRPr="00371540" w:rsidRDefault="00372688" w:rsidP="00371540">
      <w:pPr>
        <w:jc w:val="both"/>
        <w:rPr>
          <w:sz w:val="28"/>
          <w:szCs w:val="28"/>
        </w:rPr>
      </w:pPr>
      <w:r w:rsidRPr="00371540">
        <w:rPr>
          <w:sz w:val="28"/>
          <w:szCs w:val="28"/>
        </w:rPr>
        <w:t>Производственными предприятиями пищевой промышленности вырабатывается 17 видов хлеба, около 30 наименований хлебобулочных изделий, более 90 видов мучных кондитерских изделий, 14 наименований карамели. Объем произведенной продукции в 2020 году составил 2309,4 тонны хлеба, хлебобулочных и мучных кондитерских изделий, 9,5 тонн карамели.</w:t>
      </w:r>
    </w:p>
    <w:p w:rsidR="00372688" w:rsidRPr="00371540" w:rsidRDefault="00372688" w:rsidP="00371540">
      <w:pPr>
        <w:keepNext/>
        <w:keepLines/>
        <w:jc w:val="both"/>
        <w:rPr>
          <w:rFonts w:eastAsiaTheme="majorEastAsia"/>
          <w:bCs/>
          <w:sz w:val="28"/>
          <w:szCs w:val="28"/>
        </w:rPr>
      </w:pPr>
      <w:bookmarkStart w:id="3" w:name="_Toc7019099"/>
      <w:bookmarkStart w:id="4" w:name="_Toc62919447"/>
      <w:r w:rsidRPr="00371540">
        <w:rPr>
          <w:rFonts w:eastAsiaTheme="majorEastAsia"/>
          <w:bCs/>
          <w:sz w:val="28"/>
          <w:szCs w:val="28"/>
        </w:rPr>
        <w:t>Развитие сферы бытовых услуг</w:t>
      </w:r>
      <w:bookmarkEnd w:id="3"/>
      <w:bookmarkEnd w:id="4"/>
    </w:p>
    <w:p w:rsidR="00372688" w:rsidRPr="00371540" w:rsidRDefault="00372688" w:rsidP="00371540">
      <w:pPr>
        <w:jc w:val="both"/>
        <w:rPr>
          <w:bCs/>
          <w:sz w:val="28"/>
          <w:szCs w:val="28"/>
        </w:rPr>
      </w:pPr>
      <w:r w:rsidRPr="00371540">
        <w:rPr>
          <w:bCs/>
          <w:sz w:val="28"/>
          <w:szCs w:val="28"/>
        </w:rPr>
        <w:t>Всего по состоянию на 1 января 2021 года на территории муниципального образования «город Черемхово» действует 218 предприятий службы быта, в том числе по видам услуг:</w:t>
      </w:r>
    </w:p>
    <w:tbl>
      <w:tblPr>
        <w:tblStyle w:val="af2"/>
        <w:tblW w:w="0" w:type="auto"/>
        <w:jc w:val="center"/>
        <w:tblInd w:w="-1012" w:type="dxa"/>
        <w:tblLayout w:type="fixed"/>
        <w:tblLook w:val="04A0" w:firstRow="1" w:lastRow="0" w:firstColumn="1" w:lastColumn="0" w:noHBand="0" w:noVBand="1"/>
      </w:tblPr>
      <w:tblGrid>
        <w:gridCol w:w="7842"/>
        <w:gridCol w:w="2728"/>
      </w:tblGrid>
      <w:tr w:rsidR="00372688" w:rsidRPr="00371540" w:rsidTr="000906BF">
        <w:trPr>
          <w:trHeight w:val="70"/>
          <w:tblHeader/>
          <w:jc w:val="center"/>
        </w:trPr>
        <w:tc>
          <w:tcPr>
            <w:tcW w:w="7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sz w:val="28"/>
                <w:szCs w:val="28"/>
              </w:rPr>
            </w:pPr>
            <w:r w:rsidRPr="00371540">
              <w:rPr>
                <w:sz w:val="28"/>
                <w:szCs w:val="28"/>
              </w:rPr>
              <w:t>Наименование</w:t>
            </w:r>
          </w:p>
          <w:p w:rsidR="00372688" w:rsidRPr="00371540" w:rsidRDefault="00372688" w:rsidP="000906BF">
            <w:pPr>
              <w:jc w:val="center"/>
              <w:rPr>
                <w:sz w:val="28"/>
                <w:szCs w:val="28"/>
              </w:rPr>
            </w:pPr>
            <w:r w:rsidRPr="00371540">
              <w:rPr>
                <w:sz w:val="28"/>
                <w:szCs w:val="28"/>
              </w:rPr>
              <w:t>видов бытовых услуг</w:t>
            </w:r>
          </w:p>
        </w:tc>
        <w:tc>
          <w:tcPr>
            <w:tcW w:w="2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sz w:val="28"/>
                <w:szCs w:val="28"/>
              </w:rPr>
            </w:pPr>
            <w:r w:rsidRPr="00371540">
              <w:rPr>
                <w:sz w:val="28"/>
                <w:szCs w:val="28"/>
              </w:rPr>
              <w:t>% от общего числа</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пошив обуви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3,7</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и пошив швейных, меховых и кожаных изделий, головных уборов и изделий из текстильной галантереи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4,6</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пошив и вязание трикотажных изделий</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w:t>
            </w:r>
          </w:p>
        </w:tc>
      </w:tr>
      <w:tr w:rsidR="00372688" w:rsidRPr="00371540" w:rsidTr="000906BF">
        <w:trPr>
          <w:trHeight w:val="567"/>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lastRenderedPageBreak/>
              <w:t>Ремонт и техническое обслуживание бытовой радиоэлектронной аппаратуры</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3,7</w:t>
            </w:r>
          </w:p>
        </w:tc>
      </w:tr>
      <w:tr w:rsidR="00372688" w:rsidRPr="00371540" w:rsidTr="000906BF">
        <w:trPr>
          <w:trHeight w:val="567"/>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бытовых машин и приборов, ремонт и изготовление металлоизделий</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6,9</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Техническое обслуживание, ремонт и мойка транспортных средств, машин и оборудования</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13,3</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Изготовление и ремонт мебели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1,4</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Приемные пункты химчистки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0,9</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Услуги прачечных</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0,5</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и строительство жилья и других построек, изготовление и установка окон</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6,7</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Услуги фотоателье и фотолабораторий</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4,6</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Услуги бань и душевых, сауны</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4,1</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Услуги парикмахерских и салонов красоты</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29,8</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Ритуальные услуги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2,3</w:t>
            </w:r>
          </w:p>
        </w:tc>
      </w:tr>
      <w:tr w:rsidR="00372688" w:rsidRPr="00371540" w:rsidTr="000906BF">
        <w:trPr>
          <w:trHeight w:val="138"/>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часов</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Услуги ломбарда</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5,5</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Пункт проката (свадебные принадлежности)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0,5</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Ремонт и изготовление ювелирных изделий</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2,3</w:t>
            </w:r>
          </w:p>
        </w:tc>
      </w:tr>
      <w:tr w:rsidR="00372688" w:rsidRPr="00371540" w:rsidTr="000906BF">
        <w:trPr>
          <w:jc w:val="center"/>
        </w:trPr>
        <w:tc>
          <w:tcPr>
            <w:tcW w:w="7842" w:type="dxa"/>
            <w:tcBorders>
              <w:top w:val="single" w:sz="4" w:space="0" w:color="auto"/>
              <w:left w:val="single" w:sz="4" w:space="0" w:color="auto"/>
              <w:bottom w:val="single" w:sz="4" w:space="0" w:color="auto"/>
              <w:right w:val="single" w:sz="4" w:space="0" w:color="auto"/>
            </w:tcBorders>
            <w:hideMark/>
          </w:tcPr>
          <w:p w:rsidR="00372688" w:rsidRPr="00371540" w:rsidRDefault="00372688" w:rsidP="000906BF">
            <w:pPr>
              <w:rPr>
                <w:sz w:val="28"/>
                <w:szCs w:val="28"/>
              </w:rPr>
            </w:pPr>
            <w:r w:rsidRPr="00371540">
              <w:rPr>
                <w:sz w:val="28"/>
                <w:szCs w:val="28"/>
              </w:rPr>
              <w:t>Прочие услуги</w:t>
            </w:r>
          </w:p>
        </w:tc>
        <w:tc>
          <w:tcPr>
            <w:tcW w:w="2728"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color w:val="000000"/>
                <w:sz w:val="28"/>
                <w:szCs w:val="28"/>
              </w:rPr>
            </w:pPr>
            <w:r w:rsidRPr="00371540">
              <w:rPr>
                <w:color w:val="000000"/>
                <w:sz w:val="28"/>
                <w:szCs w:val="28"/>
              </w:rPr>
              <w:t>9,2</w:t>
            </w:r>
          </w:p>
        </w:tc>
      </w:tr>
    </w:tbl>
    <w:p w:rsidR="00372688" w:rsidRPr="00371540" w:rsidRDefault="00372688" w:rsidP="00371540">
      <w:pPr>
        <w:jc w:val="both"/>
        <w:rPr>
          <w:sz w:val="28"/>
          <w:szCs w:val="28"/>
        </w:rPr>
      </w:pPr>
      <w:bookmarkStart w:id="5" w:name="_Toc62919448"/>
    </w:p>
    <w:p w:rsidR="00372688" w:rsidRPr="00371540" w:rsidRDefault="00372688" w:rsidP="00371540">
      <w:pPr>
        <w:pStyle w:val="af3"/>
        <w:keepNext/>
        <w:keepLines/>
        <w:spacing w:after="0" w:line="240" w:lineRule="auto"/>
        <w:ind w:left="0"/>
        <w:jc w:val="both"/>
        <w:rPr>
          <w:rFonts w:ascii="Times New Roman" w:eastAsiaTheme="majorEastAsia" w:hAnsi="Times New Roman" w:cs="Times New Roman"/>
          <w:bCs/>
          <w:sz w:val="28"/>
          <w:szCs w:val="28"/>
        </w:rPr>
      </w:pPr>
      <w:r w:rsidRPr="00371540">
        <w:rPr>
          <w:rFonts w:ascii="Times New Roman" w:eastAsiaTheme="majorEastAsia" w:hAnsi="Times New Roman" w:cs="Times New Roman"/>
          <w:bCs/>
          <w:sz w:val="28"/>
          <w:szCs w:val="28"/>
        </w:rPr>
        <w:t>Работа с заявлениями и обращениями потребителей</w:t>
      </w:r>
      <w:bookmarkEnd w:id="5"/>
    </w:p>
    <w:p w:rsidR="00372688" w:rsidRPr="00371540" w:rsidRDefault="00372688" w:rsidP="00371540">
      <w:pPr>
        <w:jc w:val="both"/>
        <w:rPr>
          <w:sz w:val="28"/>
          <w:szCs w:val="28"/>
        </w:rPr>
      </w:pPr>
      <w:r w:rsidRPr="00371540">
        <w:rPr>
          <w:sz w:val="28"/>
          <w:szCs w:val="28"/>
        </w:rPr>
        <w:t>За 12 месяцев 2020 года отделом торговли администрации города Черемхово рассмотрено 73 обращения потребителей, в том числе 10 письменных заявлений. За аналогичный период прошлого года количество жалоб составило 184. Всем обратившимся даны консультации по законодательству о защите прав потребителей, на письменные заявления даны письменные ответы.</w:t>
      </w:r>
    </w:p>
    <w:p w:rsidR="00372688" w:rsidRPr="00371540" w:rsidRDefault="00372688" w:rsidP="00371540">
      <w:pPr>
        <w:jc w:val="both"/>
        <w:rPr>
          <w:sz w:val="28"/>
          <w:szCs w:val="28"/>
        </w:rPr>
      </w:pPr>
      <w:r w:rsidRPr="00371540">
        <w:rPr>
          <w:sz w:val="28"/>
          <w:szCs w:val="28"/>
        </w:rPr>
        <w:t>Структура обращений и заявлений потребителей по содержанию вопросов:</w:t>
      </w:r>
    </w:p>
    <w:tbl>
      <w:tblPr>
        <w:tblW w:w="10578" w:type="dxa"/>
        <w:jc w:val="center"/>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835"/>
        <w:gridCol w:w="1848"/>
        <w:gridCol w:w="1934"/>
        <w:gridCol w:w="1843"/>
        <w:gridCol w:w="1364"/>
      </w:tblGrid>
      <w:tr w:rsidR="00372688" w:rsidRPr="00371540" w:rsidTr="000906BF">
        <w:trPr>
          <w:trHeight w:val="1020"/>
          <w:jc w:val="center"/>
        </w:trPr>
        <w:tc>
          <w:tcPr>
            <w:tcW w:w="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 xml:space="preserve">№ </w:t>
            </w:r>
            <w:proofErr w:type="gramStart"/>
            <w:r w:rsidRPr="00371540">
              <w:rPr>
                <w:b/>
                <w:sz w:val="28"/>
                <w:szCs w:val="28"/>
              </w:rPr>
              <w:t>п</w:t>
            </w:r>
            <w:proofErr w:type="gramEnd"/>
            <w:r w:rsidRPr="00371540">
              <w:rPr>
                <w:b/>
                <w:sz w:val="28"/>
                <w:szCs w:val="28"/>
              </w:rPr>
              <w:t>/п</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Вид</w:t>
            </w:r>
          </w:p>
          <w:p w:rsidR="00372688" w:rsidRPr="00371540" w:rsidRDefault="00372688" w:rsidP="000906BF">
            <w:pPr>
              <w:jc w:val="center"/>
              <w:rPr>
                <w:b/>
                <w:sz w:val="28"/>
                <w:szCs w:val="28"/>
              </w:rPr>
            </w:pPr>
            <w:r w:rsidRPr="00371540">
              <w:rPr>
                <w:b/>
                <w:sz w:val="28"/>
                <w:szCs w:val="28"/>
              </w:rPr>
              <w:t>деятельности</w:t>
            </w:r>
          </w:p>
        </w:tc>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Кол</w:t>
            </w:r>
            <w:r w:rsidR="000906BF">
              <w:rPr>
                <w:b/>
                <w:sz w:val="28"/>
                <w:szCs w:val="28"/>
              </w:rPr>
              <w:t>-</w:t>
            </w:r>
            <w:r w:rsidRPr="00371540">
              <w:rPr>
                <w:b/>
                <w:sz w:val="28"/>
                <w:szCs w:val="28"/>
              </w:rPr>
              <w:t>во заявлений, всего</w:t>
            </w:r>
          </w:p>
        </w:tc>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Кол</w:t>
            </w:r>
            <w:r w:rsidR="000906BF">
              <w:rPr>
                <w:b/>
                <w:sz w:val="28"/>
                <w:szCs w:val="28"/>
              </w:rPr>
              <w:t>-</w:t>
            </w:r>
            <w:r w:rsidRPr="00371540">
              <w:rPr>
                <w:b/>
                <w:sz w:val="28"/>
                <w:szCs w:val="28"/>
              </w:rPr>
              <w:t>во письменных заявлений</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Кол</w:t>
            </w:r>
            <w:r w:rsidR="000906BF">
              <w:rPr>
                <w:b/>
                <w:sz w:val="28"/>
                <w:szCs w:val="28"/>
              </w:rPr>
              <w:t>-</w:t>
            </w:r>
            <w:r w:rsidRPr="00371540">
              <w:rPr>
                <w:b/>
                <w:sz w:val="28"/>
                <w:szCs w:val="28"/>
              </w:rPr>
              <w:t>во устных заявлений</w:t>
            </w:r>
          </w:p>
        </w:tc>
        <w:tc>
          <w:tcPr>
            <w:tcW w:w="1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w:t>
            </w:r>
          </w:p>
        </w:tc>
      </w:tr>
      <w:tr w:rsidR="00372688" w:rsidRPr="00371540" w:rsidTr="000906BF">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Торговля</w:t>
            </w:r>
          </w:p>
        </w:tc>
        <w:tc>
          <w:tcPr>
            <w:tcW w:w="1848"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47</w:t>
            </w:r>
          </w:p>
        </w:tc>
        <w:tc>
          <w:tcPr>
            <w:tcW w:w="193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38</w:t>
            </w:r>
          </w:p>
        </w:tc>
        <w:tc>
          <w:tcPr>
            <w:tcW w:w="136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64,4</w:t>
            </w:r>
          </w:p>
        </w:tc>
      </w:tr>
      <w:tr w:rsidR="00372688" w:rsidRPr="00371540" w:rsidTr="000906BF">
        <w:trPr>
          <w:trHeight w:val="680"/>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Общественное питание</w:t>
            </w:r>
          </w:p>
        </w:tc>
        <w:tc>
          <w:tcPr>
            <w:tcW w:w="1848"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16</w:t>
            </w:r>
          </w:p>
        </w:tc>
        <w:tc>
          <w:tcPr>
            <w:tcW w:w="193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15</w:t>
            </w:r>
          </w:p>
        </w:tc>
        <w:tc>
          <w:tcPr>
            <w:tcW w:w="136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21,9</w:t>
            </w:r>
          </w:p>
        </w:tc>
      </w:tr>
      <w:tr w:rsidR="00372688" w:rsidRPr="00371540" w:rsidTr="000906BF">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Бытовые услуги</w:t>
            </w:r>
          </w:p>
        </w:tc>
        <w:tc>
          <w:tcPr>
            <w:tcW w:w="1848"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10</w:t>
            </w:r>
          </w:p>
        </w:tc>
        <w:tc>
          <w:tcPr>
            <w:tcW w:w="193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13,7</w:t>
            </w:r>
          </w:p>
        </w:tc>
      </w:tr>
      <w:tr w:rsidR="00372688" w:rsidRPr="00371540" w:rsidTr="000906BF">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b/>
                <w:sz w:val="28"/>
                <w:szCs w:val="28"/>
              </w:rPr>
            </w:pPr>
            <w:r w:rsidRPr="00371540">
              <w:rPr>
                <w:b/>
                <w:sz w:val="28"/>
                <w:szCs w:val="28"/>
              </w:rPr>
              <w:t>Всего</w:t>
            </w:r>
          </w:p>
        </w:tc>
        <w:tc>
          <w:tcPr>
            <w:tcW w:w="1848"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b/>
                <w:sz w:val="28"/>
                <w:szCs w:val="28"/>
              </w:rPr>
            </w:pPr>
            <w:r w:rsidRPr="00371540">
              <w:rPr>
                <w:b/>
                <w:sz w:val="28"/>
                <w:szCs w:val="28"/>
              </w:rPr>
              <w:t>73</w:t>
            </w:r>
          </w:p>
        </w:tc>
        <w:tc>
          <w:tcPr>
            <w:tcW w:w="193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b/>
                <w:sz w:val="28"/>
                <w:szCs w:val="28"/>
              </w:rPr>
            </w:pPr>
            <w:r w:rsidRPr="00371540">
              <w:rPr>
                <w:b/>
                <w:sz w:val="28"/>
                <w:szCs w:val="2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b/>
                <w:sz w:val="28"/>
                <w:szCs w:val="28"/>
              </w:rPr>
            </w:pPr>
            <w:r w:rsidRPr="00371540">
              <w:rPr>
                <w:b/>
                <w:sz w:val="28"/>
                <w:szCs w:val="28"/>
              </w:rPr>
              <w:t>63</w:t>
            </w:r>
          </w:p>
        </w:tc>
        <w:tc>
          <w:tcPr>
            <w:tcW w:w="1364"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b/>
                <w:sz w:val="28"/>
                <w:szCs w:val="28"/>
              </w:rPr>
            </w:pPr>
            <w:r w:rsidRPr="00371540">
              <w:rPr>
                <w:b/>
                <w:sz w:val="28"/>
                <w:szCs w:val="28"/>
              </w:rPr>
              <w:t>100</w:t>
            </w:r>
          </w:p>
        </w:tc>
      </w:tr>
    </w:tbl>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0906BF" w:rsidRDefault="000906BF" w:rsidP="00371540">
      <w:pPr>
        <w:jc w:val="both"/>
        <w:rPr>
          <w:sz w:val="28"/>
          <w:szCs w:val="28"/>
        </w:rPr>
      </w:pPr>
    </w:p>
    <w:p w:rsidR="00372688" w:rsidRPr="00371540" w:rsidRDefault="00372688" w:rsidP="00371540">
      <w:pPr>
        <w:jc w:val="both"/>
        <w:rPr>
          <w:sz w:val="28"/>
          <w:szCs w:val="28"/>
        </w:rPr>
      </w:pPr>
      <w:r w:rsidRPr="00371540">
        <w:rPr>
          <w:sz w:val="28"/>
          <w:szCs w:val="28"/>
        </w:rPr>
        <w:lastRenderedPageBreak/>
        <w:t>Структура обращений и заявлений граждан по статьям Закона РФ</w:t>
      </w:r>
    </w:p>
    <w:p w:rsidR="00372688" w:rsidRPr="00371540" w:rsidRDefault="00372688" w:rsidP="00371540">
      <w:pPr>
        <w:jc w:val="both"/>
        <w:rPr>
          <w:sz w:val="28"/>
          <w:szCs w:val="28"/>
        </w:rPr>
      </w:pPr>
      <w:r w:rsidRPr="00371540">
        <w:rPr>
          <w:sz w:val="28"/>
          <w:szCs w:val="28"/>
        </w:rPr>
        <w:t>от 7 февраля 1992 года № 2300-1 «О защите прав потребителей»:</w:t>
      </w:r>
    </w:p>
    <w:tbl>
      <w:tblPr>
        <w:tblW w:w="0" w:type="auto"/>
        <w:jc w:val="center"/>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2835"/>
        <w:gridCol w:w="2835"/>
      </w:tblGrid>
      <w:tr w:rsidR="00372688" w:rsidRPr="00371540" w:rsidTr="000906BF">
        <w:trPr>
          <w:trHeight w:val="340"/>
          <w:tblHeader/>
          <w:jc w:val="center"/>
        </w:trPr>
        <w:tc>
          <w:tcPr>
            <w:tcW w:w="5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Статьи Закона</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Количество заявлений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2688" w:rsidRPr="00371540" w:rsidRDefault="00372688" w:rsidP="000906BF">
            <w:pPr>
              <w:jc w:val="center"/>
              <w:rPr>
                <w:b/>
                <w:sz w:val="28"/>
                <w:szCs w:val="28"/>
              </w:rPr>
            </w:pPr>
            <w:r w:rsidRPr="00371540">
              <w:rPr>
                <w:b/>
                <w:sz w:val="28"/>
                <w:szCs w:val="28"/>
              </w:rPr>
              <w:t>%</w:t>
            </w:r>
          </w:p>
        </w:tc>
      </w:tr>
      <w:tr w:rsidR="00372688" w:rsidRPr="00371540" w:rsidTr="000906BF">
        <w:trPr>
          <w:trHeight w:val="340"/>
          <w:jc w:val="center"/>
        </w:trPr>
        <w:tc>
          <w:tcPr>
            <w:tcW w:w="5022"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bCs/>
                <w:sz w:val="28"/>
                <w:szCs w:val="28"/>
                <w:shd w:val="clear" w:color="auto" w:fill="FFFFFF"/>
              </w:rPr>
            </w:pPr>
            <w:r w:rsidRPr="00371540">
              <w:rPr>
                <w:bCs/>
                <w:sz w:val="28"/>
                <w:szCs w:val="28"/>
                <w:shd w:val="clear" w:color="auto" w:fill="FFFFFF"/>
              </w:rPr>
              <w:t>ст. 11, 12, 16</w:t>
            </w:r>
            <w:r w:rsidRPr="00371540">
              <w:rPr>
                <w:bCs/>
                <w:sz w:val="28"/>
                <w:szCs w:val="28"/>
                <w:shd w:val="clear" w:color="auto" w:fill="FFFFFF"/>
                <w:vertAlign w:val="superscript"/>
              </w:rPr>
              <w:footnoteReference w:id="3"/>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41,2</w:t>
            </w:r>
          </w:p>
        </w:tc>
      </w:tr>
      <w:tr w:rsidR="00372688" w:rsidRPr="00371540" w:rsidTr="000906BF">
        <w:trPr>
          <w:trHeight w:val="340"/>
          <w:jc w:val="center"/>
        </w:trPr>
        <w:tc>
          <w:tcPr>
            <w:tcW w:w="5022"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ст. 18-25</w:t>
            </w:r>
            <w:r w:rsidRPr="00371540">
              <w:rPr>
                <w:sz w:val="28"/>
                <w:szCs w:val="28"/>
                <w:vertAlign w:val="superscript"/>
              </w:rPr>
              <w:footnoteReference w:id="4"/>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30,1</w:t>
            </w:r>
          </w:p>
        </w:tc>
      </w:tr>
      <w:tr w:rsidR="00372688" w:rsidRPr="00371540" w:rsidTr="000906BF">
        <w:trPr>
          <w:trHeight w:val="340"/>
          <w:jc w:val="center"/>
        </w:trPr>
        <w:tc>
          <w:tcPr>
            <w:tcW w:w="5022"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ст. 27-35</w:t>
            </w:r>
            <w:r w:rsidRPr="00371540">
              <w:rPr>
                <w:sz w:val="28"/>
                <w:szCs w:val="28"/>
                <w:vertAlign w:val="superscript"/>
              </w:rPr>
              <w:footnoteReference w:id="5"/>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16,4</w:t>
            </w:r>
          </w:p>
        </w:tc>
      </w:tr>
      <w:tr w:rsidR="00372688" w:rsidRPr="00371540" w:rsidTr="000906BF">
        <w:trPr>
          <w:trHeight w:val="340"/>
          <w:jc w:val="center"/>
        </w:trPr>
        <w:tc>
          <w:tcPr>
            <w:tcW w:w="5022"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rPr>
                <w:sz w:val="28"/>
                <w:szCs w:val="28"/>
              </w:rPr>
            </w:pPr>
            <w:r w:rsidRPr="00371540">
              <w:rPr>
                <w:sz w:val="28"/>
                <w:szCs w:val="28"/>
              </w:rPr>
              <w:t>Указ Губернатора Иркутской области от 18 марта 2020 года № 59-уг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688" w:rsidRPr="00371540" w:rsidRDefault="00372688" w:rsidP="000906BF">
            <w:pPr>
              <w:jc w:val="center"/>
              <w:rPr>
                <w:sz w:val="28"/>
                <w:szCs w:val="28"/>
              </w:rPr>
            </w:pPr>
            <w:r w:rsidRPr="00371540">
              <w:rPr>
                <w:sz w:val="28"/>
                <w:szCs w:val="28"/>
              </w:rPr>
              <w:t>12,3</w:t>
            </w:r>
          </w:p>
        </w:tc>
      </w:tr>
      <w:tr w:rsidR="00372688" w:rsidRPr="00371540" w:rsidTr="000906BF">
        <w:trPr>
          <w:trHeight w:val="340"/>
          <w:jc w:val="center"/>
        </w:trPr>
        <w:tc>
          <w:tcPr>
            <w:tcW w:w="5022"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rPr>
                <w:b/>
                <w:sz w:val="28"/>
                <w:szCs w:val="28"/>
              </w:rPr>
            </w:pPr>
            <w:r w:rsidRPr="00371540">
              <w:rPr>
                <w:b/>
                <w:sz w:val="28"/>
                <w:szCs w:val="28"/>
              </w:rPr>
              <w:t>Всего</w:t>
            </w:r>
          </w:p>
        </w:tc>
        <w:tc>
          <w:tcPr>
            <w:tcW w:w="2835"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b/>
                <w:sz w:val="28"/>
                <w:szCs w:val="28"/>
              </w:rPr>
            </w:pPr>
            <w:r w:rsidRPr="00371540">
              <w:rPr>
                <w:b/>
                <w:sz w:val="28"/>
                <w:szCs w:val="28"/>
              </w:rPr>
              <w:t>73</w:t>
            </w:r>
          </w:p>
        </w:tc>
        <w:tc>
          <w:tcPr>
            <w:tcW w:w="2835" w:type="dxa"/>
            <w:tcBorders>
              <w:top w:val="single" w:sz="4" w:space="0" w:color="auto"/>
              <w:left w:val="single" w:sz="4" w:space="0" w:color="auto"/>
              <w:bottom w:val="single" w:sz="4" w:space="0" w:color="auto"/>
              <w:right w:val="single" w:sz="4" w:space="0" w:color="auto"/>
            </w:tcBorders>
            <w:vAlign w:val="center"/>
          </w:tcPr>
          <w:p w:rsidR="00372688" w:rsidRPr="00371540" w:rsidRDefault="00372688" w:rsidP="000906BF">
            <w:pPr>
              <w:jc w:val="center"/>
              <w:rPr>
                <w:b/>
                <w:sz w:val="28"/>
                <w:szCs w:val="28"/>
              </w:rPr>
            </w:pPr>
            <w:r w:rsidRPr="00371540">
              <w:rPr>
                <w:b/>
                <w:sz w:val="28"/>
                <w:szCs w:val="28"/>
              </w:rPr>
              <w:t>100</w:t>
            </w:r>
          </w:p>
        </w:tc>
      </w:tr>
    </w:tbl>
    <w:p w:rsidR="00372688" w:rsidRPr="00371540" w:rsidRDefault="00372688" w:rsidP="00371540">
      <w:pPr>
        <w:jc w:val="both"/>
        <w:rPr>
          <w:sz w:val="28"/>
          <w:szCs w:val="28"/>
        </w:rPr>
      </w:pPr>
      <w:r w:rsidRPr="00371540">
        <w:rPr>
          <w:sz w:val="28"/>
          <w:szCs w:val="28"/>
        </w:rPr>
        <w:t>Во всех случаях устранение нарушений прав потребителей осуществлялось в добровольном порядке. В целях досудебного урегулирования вопросов по защите прав потребителей практиковалось рассмотрение конфликтных ситуаций с участием обеих сторон. В результате рассмотрения заявлений, жалоб потребителей, оказания досудебной помощи потребителям в виде консультирования по законодательству о защите прав потребителей и оформления претензий, разъяснения продавцу (исполнителю) обоснованности требований потребителей и последствий их неисполнения, потребителям было возвращено за некачественные товары или услуги, а также заменено, отремонтировано товаров на сумму 146,86 тыс. руб</w:t>
      </w:r>
      <w:r w:rsidR="000F2271" w:rsidRPr="00371540">
        <w:rPr>
          <w:sz w:val="28"/>
          <w:szCs w:val="28"/>
        </w:rPr>
        <w:t>лей</w:t>
      </w:r>
      <w:r w:rsidRPr="00371540">
        <w:rPr>
          <w:sz w:val="28"/>
          <w:szCs w:val="28"/>
        </w:rPr>
        <w:t>.</w:t>
      </w:r>
    </w:p>
    <w:p w:rsidR="006A0E2A" w:rsidRPr="00371540" w:rsidRDefault="006A0E2A" w:rsidP="00371540">
      <w:pPr>
        <w:jc w:val="both"/>
        <w:rPr>
          <w:sz w:val="28"/>
          <w:szCs w:val="28"/>
        </w:rPr>
      </w:pPr>
      <w:bookmarkStart w:id="6" w:name="_GoBack"/>
      <w:bookmarkEnd w:id="6"/>
    </w:p>
    <w:p w:rsidR="006A0E2A" w:rsidRPr="00371540" w:rsidRDefault="006A0E2A" w:rsidP="00371540">
      <w:pPr>
        <w:jc w:val="both"/>
        <w:rPr>
          <w:sz w:val="28"/>
          <w:szCs w:val="28"/>
        </w:rPr>
      </w:pPr>
    </w:p>
    <w:p w:rsidR="006A0E2A" w:rsidRPr="00371540" w:rsidRDefault="006A0E2A" w:rsidP="00371540">
      <w:pPr>
        <w:jc w:val="both"/>
        <w:rPr>
          <w:sz w:val="28"/>
          <w:szCs w:val="28"/>
        </w:rPr>
      </w:pPr>
    </w:p>
    <w:p w:rsidR="006A0E2A" w:rsidRPr="00371540" w:rsidRDefault="006A0E2A" w:rsidP="00371540">
      <w:pPr>
        <w:jc w:val="both"/>
        <w:rPr>
          <w:sz w:val="28"/>
          <w:szCs w:val="28"/>
        </w:rPr>
      </w:pPr>
    </w:p>
    <w:p w:rsidR="006A0E2A" w:rsidRPr="00371540" w:rsidRDefault="006A0E2A" w:rsidP="00371540">
      <w:pPr>
        <w:jc w:val="both"/>
        <w:rPr>
          <w:sz w:val="28"/>
          <w:szCs w:val="28"/>
        </w:rPr>
      </w:pPr>
    </w:p>
    <w:p w:rsidR="006A0E2A" w:rsidRPr="00371540" w:rsidRDefault="006A0E2A" w:rsidP="00371540">
      <w:pPr>
        <w:jc w:val="both"/>
        <w:rPr>
          <w:sz w:val="28"/>
          <w:szCs w:val="28"/>
        </w:rPr>
      </w:pPr>
    </w:p>
    <w:p w:rsidR="006A0E2A" w:rsidRPr="00371540" w:rsidRDefault="006A0E2A" w:rsidP="00371540">
      <w:pPr>
        <w:jc w:val="both"/>
        <w:rPr>
          <w:sz w:val="28"/>
          <w:szCs w:val="28"/>
        </w:rPr>
      </w:pPr>
    </w:p>
    <w:p w:rsidR="00C41AB1" w:rsidRPr="00371540" w:rsidRDefault="00C41AB1" w:rsidP="00371540">
      <w:pPr>
        <w:jc w:val="both"/>
        <w:rPr>
          <w:sz w:val="28"/>
          <w:szCs w:val="28"/>
        </w:rPr>
      </w:pPr>
    </w:p>
    <w:sectPr w:rsidR="00C41AB1" w:rsidRPr="00371540" w:rsidSect="00371540">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30" w:rsidRDefault="00D76D30" w:rsidP="00F23B47">
      <w:r>
        <w:separator/>
      </w:r>
    </w:p>
  </w:endnote>
  <w:endnote w:type="continuationSeparator" w:id="0">
    <w:p w:rsidR="00D76D30" w:rsidRDefault="00D76D30" w:rsidP="00F2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30" w:rsidRDefault="00D76D30" w:rsidP="00F23B47">
      <w:r>
        <w:separator/>
      </w:r>
    </w:p>
  </w:footnote>
  <w:footnote w:type="continuationSeparator" w:id="0">
    <w:p w:rsidR="00D76D30" w:rsidRDefault="00D76D30" w:rsidP="00F23B47">
      <w:r>
        <w:continuationSeparator/>
      </w:r>
    </w:p>
  </w:footnote>
  <w:footnote w:id="1">
    <w:p w:rsidR="00372688" w:rsidRPr="00372688" w:rsidRDefault="00372688" w:rsidP="00372688">
      <w:pPr>
        <w:pStyle w:val="a8"/>
        <w:jc w:val="both"/>
        <w:rPr>
          <w:lang w:val="ru-RU"/>
        </w:rPr>
      </w:pPr>
      <w:r w:rsidRPr="00CA5872">
        <w:rPr>
          <w:rStyle w:val="aa"/>
        </w:rPr>
        <w:footnoteRef/>
      </w:r>
      <w:r w:rsidRPr="00372688">
        <w:rPr>
          <w:lang w:val="ru-RU"/>
        </w:rPr>
        <w:t xml:space="preserve"> </w:t>
      </w:r>
      <w:r w:rsidRPr="00372688">
        <w:rPr>
          <w:rFonts w:eastAsia="Times New Roman"/>
          <w:szCs w:val="28"/>
          <w:lang w:val="ru-RU" w:eastAsia="ru-RU"/>
        </w:rPr>
        <w:t>по данным Территориального органа Федеральной службы государственной статистики по Иркутской области за январь-декабрь 2020 года</w:t>
      </w:r>
    </w:p>
  </w:footnote>
  <w:footnote w:id="2">
    <w:p w:rsidR="00372688" w:rsidRPr="00372688" w:rsidRDefault="00372688" w:rsidP="00372688">
      <w:pPr>
        <w:pStyle w:val="a8"/>
        <w:jc w:val="both"/>
        <w:rPr>
          <w:lang w:val="ru-RU"/>
        </w:rPr>
      </w:pPr>
      <w:r w:rsidRPr="0085038E">
        <w:rPr>
          <w:rStyle w:val="aa"/>
        </w:rPr>
        <w:footnoteRef/>
      </w:r>
      <w:r w:rsidRPr="00372688">
        <w:rPr>
          <w:lang w:val="ru-RU"/>
        </w:rPr>
        <w:t xml:space="preserve"> </w:t>
      </w:r>
      <w:r w:rsidRPr="00372688">
        <w:rPr>
          <w:rFonts w:eastAsia="Times New Roman"/>
          <w:szCs w:val="28"/>
          <w:lang w:val="ru-RU" w:eastAsia="ru-RU"/>
        </w:rPr>
        <w:t>по данным Территориального органа Федеральной службы государственной статистики по Иркутской области за январь-декабрь 2020 года</w:t>
      </w:r>
    </w:p>
  </w:footnote>
  <w:footnote w:id="3">
    <w:p w:rsidR="00372688" w:rsidRPr="00C628F8" w:rsidRDefault="00372688" w:rsidP="00372688">
      <w:pPr>
        <w:jc w:val="both"/>
        <w:rPr>
          <w:sz w:val="20"/>
          <w:szCs w:val="20"/>
        </w:rPr>
      </w:pPr>
      <w:r w:rsidRPr="00C628F8">
        <w:rPr>
          <w:rStyle w:val="aa"/>
          <w:sz w:val="20"/>
          <w:szCs w:val="20"/>
        </w:rPr>
        <w:footnoteRef/>
      </w:r>
      <w:r w:rsidRPr="00C628F8">
        <w:rPr>
          <w:sz w:val="20"/>
          <w:szCs w:val="20"/>
        </w:rPr>
        <w:t xml:space="preserve"> </w:t>
      </w:r>
      <w:proofErr w:type="gramStart"/>
      <w:r w:rsidRPr="00C628F8">
        <w:rPr>
          <w:bCs/>
          <w:color w:val="000000"/>
          <w:sz w:val="20"/>
          <w:szCs w:val="20"/>
          <w:shd w:val="clear" w:color="auto" w:fill="FFFFFF"/>
        </w:rPr>
        <w:t>Режим работы продавца (исполнителя); Ответственность изготовителя (исполнителя, продавца) за ненадлежащую информацию о товаре (работе, услуге); Недействительность условий договора, ущемляющих права потребителя.</w:t>
      </w:r>
      <w:proofErr w:type="gramEnd"/>
    </w:p>
  </w:footnote>
  <w:footnote w:id="4">
    <w:p w:rsidR="00372688" w:rsidRPr="00C628F8" w:rsidRDefault="00372688" w:rsidP="00372688">
      <w:pPr>
        <w:jc w:val="both"/>
        <w:rPr>
          <w:sz w:val="20"/>
          <w:szCs w:val="20"/>
        </w:rPr>
      </w:pPr>
      <w:r w:rsidRPr="00C628F8">
        <w:rPr>
          <w:rStyle w:val="aa"/>
          <w:sz w:val="20"/>
          <w:szCs w:val="20"/>
        </w:rPr>
        <w:footnoteRef/>
      </w:r>
      <w:r w:rsidRPr="00C628F8">
        <w:rPr>
          <w:sz w:val="20"/>
          <w:szCs w:val="20"/>
        </w:rPr>
        <w:t xml:space="preserve"> </w:t>
      </w:r>
      <w:proofErr w:type="gramStart"/>
      <w:r w:rsidRPr="00C628F8">
        <w:rPr>
          <w:sz w:val="20"/>
          <w:szCs w:val="20"/>
        </w:rPr>
        <w:t>Права потребителя при обнаружении в товаре недостатков;</w:t>
      </w:r>
      <w:r w:rsidRPr="00C628F8">
        <w:rPr>
          <w:bCs/>
          <w:color w:val="000000"/>
          <w:sz w:val="20"/>
          <w:szCs w:val="20"/>
          <w:shd w:val="clear" w:color="auto" w:fill="FFFFFF"/>
        </w:rPr>
        <w:t xml:space="preserve"> </w:t>
      </w:r>
      <w:r w:rsidRPr="00C628F8">
        <w:rPr>
          <w:sz w:val="20"/>
          <w:szCs w:val="20"/>
        </w:rPr>
        <w:t>Сроки предъявления потребителем требований в отношении недостатков товара;</w:t>
      </w:r>
      <w:r w:rsidRPr="00C628F8">
        <w:rPr>
          <w:bCs/>
          <w:color w:val="000000"/>
          <w:sz w:val="20"/>
          <w:szCs w:val="20"/>
          <w:shd w:val="clear" w:color="auto" w:fill="FFFFFF"/>
        </w:rPr>
        <w:t xml:space="preserve"> </w:t>
      </w:r>
      <w:r w:rsidRPr="00C628F8">
        <w:rPr>
          <w:sz w:val="20"/>
          <w:szCs w:val="20"/>
        </w:rPr>
        <w:t>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sidRPr="00C628F8">
        <w:rPr>
          <w:bCs/>
          <w:color w:val="000000"/>
          <w:sz w:val="20"/>
          <w:szCs w:val="20"/>
          <w:shd w:val="clear" w:color="auto" w:fill="FFFFFF"/>
        </w:rPr>
        <w:t xml:space="preserve"> </w:t>
      </w:r>
      <w:r w:rsidRPr="00C628F8">
        <w:rPr>
          <w:sz w:val="20"/>
          <w:szCs w:val="20"/>
        </w:rPr>
        <w:t>Замена товара ненадлежащего качества;</w:t>
      </w:r>
      <w:r w:rsidRPr="00C628F8">
        <w:rPr>
          <w:bCs/>
          <w:color w:val="000000"/>
          <w:sz w:val="20"/>
          <w:szCs w:val="20"/>
          <w:shd w:val="clear" w:color="auto" w:fill="FFFFFF"/>
        </w:rPr>
        <w:t xml:space="preserve"> </w:t>
      </w:r>
      <w:r w:rsidRPr="00C628F8">
        <w:rPr>
          <w:sz w:val="20"/>
          <w:szCs w:val="20"/>
        </w:rPr>
        <w:t>Сроки удовлетворения отдельных требований потребителя;</w:t>
      </w:r>
      <w:r w:rsidRPr="00C628F8">
        <w:rPr>
          <w:bCs/>
          <w:color w:val="000000"/>
          <w:sz w:val="20"/>
          <w:szCs w:val="20"/>
          <w:shd w:val="clear" w:color="auto" w:fill="FFFFFF"/>
        </w:rPr>
        <w:t xml:space="preserve"> </w:t>
      </w:r>
      <w:r w:rsidRPr="00C628F8">
        <w:rPr>
          <w:sz w:val="20"/>
          <w:szCs w:val="20"/>
        </w:rPr>
        <w:t>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roofErr w:type="gramEnd"/>
      <w:r w:rsidRPr="00C628F8">
        <w:rPr>
          <w:bCs/>
          <w:color w:val="000000"/>
          <w:sz w:val="20"/>
          <w:szCs w:val="20"/>
          <w:shd w:val="clear" w:color="auto" w:fill="FFFFFF"/>
        </w:rPr>
        <w:t xml:space="preserve"> </w:t>
      </w:r>
      <w:r w:rsidRPr="00C628F8">
        <w:rPr>
          <w:sz w:val="20"/>
          <w:szCs w:val="20"/>
        </w:rPr>
        <w:t>Последствия нарушения продавцом срока передачи предварительно оплаченного товара потребителю;</w:t>
      </w:r>
      <w:r w:rsidRPr="00C628F8">
        <w:rPr>
          <w:bCs/>
          <w:color w:val="000000"/>
          <w:sz w:val="20"/>
          <w:szCs w:val="20"/>
          <w:shd w:val="clear" w:color="auto" w:fill="FFFFFF"/>
        </w:rPr>
        <w:t xml:space="preserve"> </w:t>
      </w:r>
      <w:r w:rsidRPr="00C628F8">
        <w:rPr>
          <w:sz w:val="20"/>
          <w:szCs w:val="20"/>
        </w:rPr>
        <w:t>Расчеты с потребителем в случае приобретения им товара ненадлежащего качества;</w:t>
      </w:r>
      <w:r w:rsidRPr="00C628F8">
        <w:rPr>
          <w:bCs/>
          <w:color w:val="000000"/>
          <w:sz w:val="20"/>
          <w:szCs w:val="20"/>
          <w:shd w:val="clear" w:color="auto" w:fill="FFFFFF"/>
        </w:rPr>
        <w:t xml:space="preserve"> </w:t>
      </w:r>
      <w:r w:rsidRPr="00C628F8">
        <w:rPr>
          <w:sz w:val="20"/>
          <w:szCs w:val="20"/>
        </w:rPr>
        <w:t>Право потребителя на обмен товара надлежащего качества</w:t>
      </w:r>
    </w:p>
  </w:footnote>
  <w:footnote w:id="5">
    <w:p w:rsidR="00372688" w:rsidRDefault="00372688" w:rsidP="00372688">
      <w:pPr>
        <w:jc w:val="both"/>
      </w:pPr>
      <w:r w:rsidRPr="00C628F8">
        <w:rPr>
          <w:rStyle w:val="aa"/>
          <w:sz w:val="20"/>
          <w:szCs w:val="20"/>
        </w:rPr>
        <w:footnoteRef/>
      </w:r>
      <w:r w:rsidRPr="00C628F8">
        <w:rPr>
          <w:sz w:val="20"/>
          <w:szCs w:val="20"/>
        </w:rPr>
        <w:t xml:space="preserve"> </w:t>
      </w:r>
      <w:proofErr w:type="gramStart"/>
      <w:r w:rsidRPr="00C628F8">
        <w:rPr>
          <w:sz w:val="20"/>
          <w:szCs w:val="20"/>
        </w:rPr>
        <w:t>Сроки выполнения работ (оказания услуг); Последствия нарушения исполнителем сроков выполнения работ (оказания услуг); Права потребителя при обнаружении недостатков выполненной работы (оказанной услуги); Сроки устранения недостатков выполненной работы (оказанной услуги); Сроки удовлетворения отдельных требований потребителя; Право потребителя на отказ от исполнения договора о выполнении работ (оказании услуг); Смета на выполнение работы (оказание услуги);</w:t>
      </w:r>
      <w:proofErr w:type="gramEnd"/>
      <w:r w:rsidRPr="00C628F8">
        <w:rPr>
          <w:sz w:val="20"/>
          <w:szCs w:val="20"/>
        </w:rPr>
        <w:t xml:space="preserve"> Выполнение работы из материала исполнителя; Выполнение работы из материала (с вещью) потребителя.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91F82"/>
    <w:multiLevelType w:val="hybridMultilevel"/>
    <w:tmpl w:val="C9D8F4B4"/>
    <w:lvl w:ilvl="0" w:tplc="475C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04"/>
    <w:rsid w:val="00003105"/>
    <w:rsid w:val="00040C42"/>
    <w:rsid w:val="000606DD"/>
    <w:rsid w:val="00074FFE"/>
    <w:rsid w:val="000906BF"/>
    <w:rsid w:val="000D15D7"/>
    <w:rsid w:val="000F2271"/>
    <w:rsid w:val="001623D2"/>
    <w:rsid w:val="001A0C51"/>
    <w:rsid w:val="001A47B8"/>
    <w:rsid w:val="002570FC"/>
    <w:rsid w:val="002E428D"/>
    <w:rsid w:val="00371540"/>
    <w:rsid w:val="00372688"/>
    <w:rsid w:val="004C312B"/>
    <w:rsid w:val="00502853"/>
    <w:rsid w:val="005246A7"/>
    <w:rsid w:val="005947EA"/>
    <w:rsid w:val="005C4A25"/>
    <w:rsid w:val="005E4219"/>
    <w:rsid w:val="005F2FA7"/>
    <w:rsid w:val="006918EE"/>
    <w:rsid w:val="006A0E2A"/>
    <w:rsid w:val="007D2388"/>
    <w:rsid w:val="007E3CFC"/>
    <w:rsid w:val="007E40C3"/>
    <w:rsid w:val="008101F2"/>
    <w:rsid w:val="00900185"/>
    <w:rsid w:val="009504EA"/>
    <w:rsid w:val="009D2397"/>
    <w:rsid w:val="009D5F0A"/>
    <w:rsid w:val="00A15022"/>
    <w:rsid w:val="00AF2690"/>
    <w:rsid w:val="00B00602"/>
    <w:rsid w:val="00B369F4"/>
    <w:rsid w:val="00B4423F"/>
    <w:rsid w:val="00B94004"/>
    <w:rsid w:val="00C41AB1"/>
    <w:rsid w:val="00C63641"/>
    <w:rsid w:val="00D030BF"/>
    <w:rsid w:val="00D44623"/>
    <w:rsid w:val="00D76D30"/>
    <w:rsid w:val="00D809B6"/>
    <w:rsid w:val="00EA7647"/>
    <w:rsid w:val="00ED3778"/>
    <w:rsid w:val="00F23B47"/>
    <w:rsid w:val="00FE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04"/>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04"/>
    <w:rPr>
      <w:rFonts w:ascii="Times New Roman" w:eastAsia="Times New Roman" w:hAnsi="Times New Roman" w:cs="Times New Roman"/>
      <w:b/>
      <w:sz w:val="20"/>
      <w:szCs w:val="20"/>
      <w:lang w:eastAsia="ru-RU"/>
    </w:rPr>
  </w:style>
  <w:style w:type="character" w:styleId="a3">
    <w:name w:val="Hyperlink"/>
    <w:rsid w:val="00B94004"/>
    <w:rPr>
      <w:color w:val="0563C1"/>
      <w:u w:val="single"/>
    </w:rPr>
  </w:style>
  <w:style w:type="paragraph" w:styleId="a4">
    <w:name w:val="Normal (Web)"/>
    <w:basedOn w:val="a"/>
    <w:uiPriority w:val="99"/>
    <w:unhideWhenUsed/>
    <w:rsid w:val="00B94004"/>
    <w:pPr>
      <w:spacing w:before="100" w:beforeAutospacing="1" w:after="100" w:afterAutospacing="1"/>
    </w:pPr>
  </w:style>
  <w:style w:type="paragraph" w:styleId="a5">
    <w:name w:val="Balloon Text"/>
    <w:basedOn w:val="a"/>
    <w:link w:val="a6"/>
    <w:uiPriority w:val="99"/>
    <w:semiHidden/>
    <w:unhideWhenUsed/>
    <w:rsid w:val="00B00602"/>
    <w:rPr>
      <w:rFonts w:ascii="Tahoma" w:hAnsi="Tahoma" w:cs="Tahoma"/>
      <w:sz w:val="16"/>
      <w:szCs w:val="16"/>
    </w:rPr>
  </w:style>
  <w:style w:type="character" w:customStyle="1" w:styleId="a6">
    <w:name w:val="Текст выноски Знак"/>
    <w:basedOn w:val="a0"/>
    <w:link w:val="a5"/>
    <w:uiPriority w:val="99"/>
    <w:semiHidden/>
    <w:rsid w:val="00B00602"/>
    <w:rPr>
      <w:rFonts w:ascii="Tahoma" w:eastAsia="Times New Roman" w:hAnsi="Tahoma" w:cs="Tahoma"/>
      <w:sz w:val="16"/>
      <w:szCs w:val="16"/>
      <w:lang w:eastAsia="ru-RU"/>
    </w:rPr>
  </w:style>
  <w:style w:type="paragraph" w:customStyle="1" w:styleId="a7">
    <w:name w:val="Знак Знак Знак Знак"/>
    <w:basedOn w:val="a"/>
    <w:rsid w:val="005F2FA7"/>
    <w:pPr>
      <w:spacing w:after="160" w:line="240" w:lineRule="exact"/>
    </w:pPr>
    <w:rPr>
      <w:rFonts w:ascii="Arial" w:hAnsi="Arial" w:cs="Arial"/>
      <w:sz w:val="20"/>
      <w:szCs w:val="20"/>
      <w:lang w:val="en-US" w:eastAsia="en-US"/>
    </w:rPr>
  </w:style>
  <w:style w:type="paragraph" w:customStyle="1" w:styleId="11">
    <w:name w:val="Абзац списка1"/>
    <w:aliases w:val="Абзац списка основной,List Paragraph2,ПАРАГРАФ,Нумерация,список 1,List Paragraph1,Абзац списка11,Bullet 1,Use Case List Paragraph,Второй абзац списка,Абзац списка в таблице"/>
    <w:basedOn w:val="a"/>
    <w:link w:val="ListParagraphChar"/>
    <w:rsid w:val="00F23B47"/>
    <w:pPr>
      <w:widowControl w:val="0"/>
    </w:pPr>
    <w:rPr>
      <w:rFonts w:ascii="Calibri" w:hAnsi="Calibri"/>
      <w:sz w:val="22"/>
      <w:szCs w:val="22"/>
      <w:lang w:val="en-US" w:eastAsia="en-US"/>
    </w:rPr>
  </w:style>
  <w:style w:type="character" w:customStyle="1" w:styleId="ListParagraphChar">
    <w:name w:val="List Paragraph Char"/>
    <w:aliases w:val="Абзац списка основной Char,List Paragraph2 Char,ПАРАГРАФ Char,Нумерация Char,список 1 Char,List Paragraph1 Char,Абзац списка11 Char,Bullet 1 Char,Use Case List Paragraph Char,Второй абзац списка Char,Абзац списка в таблице Char"/>
    <w:link w:val="11"/>
    <w:locked/>
    <w:rsid w:val="00F23B47"/>
    <w:rPr>
      <w:rFonts w:ascii="Calibri" w:eastAsia="Times New Roman" w:hAnsi="Calibri" w:cs="Times New Roman"/>
      <w:lang w:val="en-US"/>
    </w:rPr>
  </w:style>
  <w:style w:type="paragraph" w:styleId="a8">
    <w:name w:val="footnote text"/>
    <w:aliases w:val="Знак Знак Знак Знак Знак,Знак Знак Знак,Знак Знак Знак Знак Знак Знак Знак Знак,Знак Знак Знак Знак Знак Знак Знак,Знак Знак Знак Знак Знак Знак Знак Знак Знак Знак Знак Знак Знак"/>
    <w:basedOn w:val="a"/>
    <w:link w:val="a9"/>
    <w:uiPriority w:val="99"/>
    <w:semiHidden/>
    <w:rsid w:val="00F23B47"/>
    <w:pPr>
      <w:widowControl w:val="0"/>
      <w:adjustRightInd w:val="0"/>
      <w:spacing w:after="160" w:line="240" w:lineRule="exact"/>
      <w:jc w:val="right"/>
    </w:pPr>
    <w:rPr>
      <w:rFonts w:eastAsia="Calibri"/>
      <w:sz w:val="20"/>
      <w:szCs w:val="20"/>
      <w:lang w:val="en-GB" w:eastAsia="en-US"/>
    </w:rPr>
  </w:style>
  <w:style w:type="character" w:customStyle="1" w:styleId="a9">
    <w:name w:val="Текст сноски Знак"/>
    <w:aliases w:val="Знак Знак Знак Знак Знак Знак,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 Знак Знак"/>
    <w:basedOn w:val="a0"/>
    <w:link w:val="a8"/>
    <w:uiPriority w:val="99"/>
    <w:semiHidden/>
    <w:rsid w:val="00F23B47"/>
    <w:rPr>
      <w:rFonts w:ascii="Times New Roman" w:eastAsia="Calibri" w:hAnsi="Times New Roman" w:cs="Times New Roman"/>
      <w:sz w:val="20"/>
      <w:szCs w:val="20"/>
      <w:lang w:val="en-GB"/>
    </w:rPr>
  </w:style>
  <w:style w:type="character" w:styleId="aa">
    <w:name w:val="footnote reference"/>
    <w:uiPriority w:val="99"/>
    <w:semiHidden/>
    <w:rsid w:val="00F23B47"/>
    <w:rPr>
      <w:rFonts w:cs="Times New Roman"/>
      <w:vertAlign w:val="superscript"/>
    </w:rPr>
  </w:style>
  <w:style w:type="paragraph" w:styleId="ab">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c"/>
    <w:qFormat/>
    <w:rsid w:val="00F23B47"/>
    <w:pPr>
      <w:jc w:val="center"/>
    </w:pPr>
    <w:rPr>
      <w:rFonts w:eastAsia="Calibri"/>
      <w:sz w:val="28"/>
      <w:szCs w:val="28"/>
    </w:rPr>
  </w:style>
  <w:style w:type="character" w:customStyle="1" w:styleId="ad">
    <w:name w:val="Заголовок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rsid w:val="00F23B47"/>
    <w:rPr>
      <w:rFonts w:asciiTheme="majorHAnsi" w:eastAsiaTheme="majorEastAsia" w:hAnsiTheme="majorHAnsi" w:cstheme="majorBidi"/>
      <w:spacing w:val="-10"/>
      <w:kern w:val="28"/>
      <w:sz w:val="56"/>
      <w:szCs w:val="56"/>
      <w:lang w:eastAsia="ru-RU"/>
    </w:rPr>
  </w:style>
  <w:style w:type="character" w:customStyle="1" w:styleId="ac">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1"/>
    <w:link w:val="ab"/>
    <w:locked/>
    <w:rsid w:val="00F23B47"/>
    <w:rPr>
      <w:rFonts w:ascii="Times New Roman" w:eastAsia="Calibri" w:hAnsi="Times New Roman" w:cs="Times New Roman"/>
      <w:sz w:val="28"/>
      <w:szCs w:val="28"/>
      <w:lang w:eastAsia="ru-RU"/>
    </w:rPr>
  </w:style>
  <w:style w:type="paragraph" w:styleId="ae">
    <w:name w:val="header"/>
    <w:basedOn w:val="a"/>
    <w:link w:val="af"/>
    <w:uiPriority w:val="99"/>
    <w:unhideWhenUsed/>
    <w:rsid w:val="00F23B47"/>
    <w:pPr>
      <w:tabs>
        <w:tab w:val="center" w:pos="4677"/>
        <w:tab w:val="right" w:pos="9355"/>
      </w:tabs>
    </w:pPr>
  </w:style>
  <w:style w:type="character" w:customStyle="1" w:styleId="af">
    <w:name w:val="Верхний колонтитул Знак"/>
    <w:basedOn w:val="a0"/>
    <w:link w:val="ae"/>
    <w:uiPriority w:val="99"/>
    <w:rsid w:val="00F23B4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23B47"/>
    <w:pPr>
      <w:tabs>
        <w:tab w:val="center" w:pos="4677"/>
        <w:tab w:val="right" w:pos="9355"/>
      </w:tabs>
    </w:pPr>
  </w:style>
  <w:style w:type="character" w:customStyle="1" w:styleId="af1">
    <w:name w:val="Нижний колонтитул Знак"/>
    <w:basedOn w:val="a0"/>
    <w:link w:val="af0"/>
    <w:uiPriority w:val="99"/>
    <w:rsid w:val="00F23B47"/>
    <w:rPr>
      <w:rFonts w:ascii="Times New Roman" w:eastAsia="Times New Roman" w:hAnsi="Times New Roman" w:cs="Times New Roman"/>
      <w:sz w:val="24"/>
      <w:szCs w:val="24"/>
      <w:lang w:eastAsia="ru-RU"/>
    </w:rPr>
  </w:style>
  <w:style w:type="paragraph" w:customStyle="1" w:styleId="ConsPlusNormal">
    <w:name w:val="ConsPlusNormal"/>
    <w:rsid w:val="00372688"/>
    <w:pPr>
      <w:widowControl w:val="0"/>
      <w:autoSpaceDE w:val="0"/>
      <w:autoSpaceDN w:val="0"/>
      <w:spacing w:after="0" w:line="240" w:lineRule="auto"/>
    </w:pPr>
    <w:rPr>
      <w:rFonts w:ascii="Calibri" w:eastAsia="Times New Roman" w:hAnsi="Calibri" w:cs="Calibri"/>
      <w:szCs w:val="20"/>
      <w:lang w:eastAsia="ru-RU"/>
    </w:rPr>
  </w:style>
  <w:style w:type="table" w:styleId="af2">
    <w:name w:val="Table Grid"/>
    <w:basedOn w:val="a1"/>
    <w:uiPriority w:val="39"/>
    <w:rsid w:val="0037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7268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04"/>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04"/>
    <w:rPr>
      <w:rFonts w:ascii="Times New Roman" w:eastAsia="Times New Roman" w:hAnsi="Times New Roman" w:cs="Times New Roman"/>
      <w:b/>
      <w:sz w:val="20"/>
      <w:szCs w:val="20"/>
      <w:lang w:eastAsia="ru-RU"/>
    </w:rPr>
  </w:style>
  <w:style w:type="character" w:styleId="a3">
    <w:name w:val="Hyperlink"/>
    <w:rsid w:val="00B94004"/>
    <w:rPr>
      <w:color w:val="0563C1"/>
      <w:u w:val="single"/>
    </w:rPr>
  </w:style>
  <w:style w:type="paragraph" w:styleId="a4">
    <w:name w:val="Normal (Web)"/>
    <w:basedOn w:val="a"/>
    <w:uiPriority w:val="99"/>
    <w:unhideWhenUsed/>
    <w:rsid w:val="00B94004"/>
    <w:pPr>
      <w:spacing w:before="100" w:beforeAutospacing="1" w:after="100" w:afterAutospacing="1"/>
    </w:pPr>
  </w:style>
  <w:style w:type="paragraph" w:styleId="a5">
    <w:name w:val="Balloon Text"/>
    <w:basedOn w:val="a"/>
    <w:link w:val="a6"/>
    <w:uiPriority w:val="99"/>
    <w:semiHidden/>
    <w:unhideWhenUsed/>
    <w:rsid w:val="00B00602"/>
    <w:rPr>
      <w:rFonts w:ascii="Tahoma" w:hAnsi="Tahoma" w:cs="Tahoma"/>
      <w:sz w:val="16"/>
      <w:szCs w:val="16"/>
    </w:rPr>
  </w:style>
  <w:style w:type="character" w:customStyle="1" w:styleId="a6">
    <w:name w:val="Текст выноски Знак"/>
    <w:basedOn w:val="a0"/>
    <w:link w:val="a5"/>
    <w:uiPriority w:val="99"/>
    <w:semiHidden/>
    <w:rsid w:val="00B00602"/>
    <w:rPr>
      <w:rFonts w:ascii="Tahoma" w:eastAsia="Times New Roman" w:hAnsi="Tahoma" w:cs="Tahoma"/>
      <w:sz w:val="16"/>
      <w:szCs w:val="16"/>
      <w:lang w:eastAsia="ru-RU"/>
    </w:rPr>
  </w:style>
  <w:style w:type="paragraph" w:customStyle="1" w:styleId="a7">
    <w:name w:val="Знак Знак Знак Знак"/>
    <w:basedOn w:val="a"/>
    <w:rsid w:val="005F2FA7"/>
    <w:pPr>
      <w:spacing w:after="160" w:line="240" w:lineRule="exact"/>
    </w:pPr>
    <w:rPr>
      <w:rFonts w:ascii="Arial" w:hAnsi="Arial" w:cs="Arial"/>
      <w:sz w:val="20"/>
      <w:szCs w:val="20"/>
      <w:lang w:val="en-US" w:eastAsia="en-US"/>
    </w:rPr>
  </w:style>
  <w:style w:type="paragraph" w:customStyle="1" w:styleId="11">
    <w:name w:val="Абзац списка1"/>
    <w:aliases w:val="Абзац списка основной,List Paragraph2,ПАРАГРАФ,Нумерация,список 1,List Paragraph1,Абзац списка11,Bullet 1,Use Case List Paragraph,Второй абзац списка,Абзац списка в таблице"/>
    <w:basedOn w:val="a"/>
    <w:link w:val="ListParagraphChar"/>
    <w:rsid w:val="00F23B47"/>
    <w:pPr>
      <w:widowControl w:val="0"/>
    </w:pPr>
    <w:rPr>
      <w:rFonts w:ascii="Calibri" w:hAnsi="Calibri"/>
      <w:sz w:val="22"/>
      <w:szCs w:val="22"/>
      <w:lang w:val="en-US" w:eastAsia="en-US"/>
    </w:rPr>
  </w:style>
  <w:style w:type="character" w:customStyle="1" w:styleId="ListParagraphChar">
    <w:name w:val="List Paragraph Char"/>
    <w:aliases w:val="Абзац списка основной Char,List Paragraph2 Char,ПАРАГРАФ Char,Нумерация Char,список 1 Char,List Paragraph1 Char,Абзац списка11 Char,Bullet 1 Char,Use Case List Paragraph Char,Второй абзац списка Char,Абзац списка в таблице Char"/>
    <w:link w:val="11"/>
    <w:locked/>
    <w:rsid w:val="00F23B47"/>
    <w:rPr>
      <w:rFonts w:ascii="Calibri" w:eastAsia="Times New Roman" w:hAnsi="Calibri" w:cs="Times New Roman"/>
      <w:lang w:val="en-US"/>
    </w:rPr>
  </w:style>
  <w:style w:type="paragraph" w:styleId="a8">
    <w:name w:val="footnote text"/>
    <w:aliases w:val="Знак Знак Знак Знак Знак,Знак Знак Знак,Знак Знак Знак Знак Знак Знак Знак Знак,Знак Знак Знак Знак Знак Знак Знак,Знак Знак Знак Знак Знак Знак Знак Знак Знак Знак Знак Знак Знак"/>
    <w:basedOn w:val="a"/>
    <w:link w:val="a9"/>
    <w:uiPriority w:val="99"/>
    <w:semiHidden/>
    <w:rsid w:val="00F23B47"/>
    <w:pPr>
      <w:widowControl w:val="0"/>
      <w:adjustRightInd w:val="0"/>
      <w:spacing w:after="160" w:line="240" w:lineRule="exact"/>
      <w:jc w:val="right"/>
    </w:pPr>
    <w:rPr>
      <w:rFonts w:eastAsia="Calibri"/>
      <w:sz w:val="20"/>
      <w:szCs w:val="20"/>
      <w:lang w:val="en-GB" w:eastAsia="en-US"/>
    </w:rPr>
  </w:style>
  <w:style w:type="character" w:customStyle="1" w:styleId="a9">
    <w:name w:val="Текст сноски Знак"/>
    <w:aliases w:val="Знак Знак Знак Знак Знак Знак,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 Знак Знак"/>
    <w:basedOn w:val="a0"/>
    <w:link w:val="a8"/>
    <w:uiPriority w:val="99"/>
    <w:semiHidden/>
    <w:rsid w:val="00F23B47"/>
    <w:rPr>
      <w:rFonts w:ascii="Times New Roman" w:eastAsia="Calibri" w:hAnsi="Times New Roman" w:cs="Times New Roman"/>
      <w:sz w:val="20"/>
      <w:szCs w:val="20"/>
      <w:lang w:val="en-GB"/>
    </w:rPr>
  </w:style>
  <w:style w:type="character" w:styleId="aa">
    <w:name w:val="footnote reference"/>
    <w:uiPriority w:val="99"/>
    <w:semiHidden/>
    <w:rsid w:val="00F23B47"/>
    <w:rPr>
      <w:rFonts w:cs="Times New Roman"/>
      <w:vertAlign w:val="superscript"/>
    </w:rPr>
  </w:style>
  <w:style w:type="paragraph" w:styleId="ab">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c"/>
    <w:qFormat/>
    <w:rsid w:val="00F23B47"/>
    <w:pPr>
      <w:jc w:val="center"/>
    </w:pPr>
    <w:rPr>
      <w:rFonts w:eastAsia="Calibri"/>
      <w:sz w:val="28"/>
      <w:szCs w:val="28"/>
    </w:rPr>
  </w:style>
  <w:style w:type="character" w:customStyle="1" w:styleId="ad">
    <w:name w:val="Заголовок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rsid w:val="00F23B47"/>
    <w:rPr>
      <w:rFonts w:asciiTheme="majorHAnsi" w:eastAsiaTheme="majorEastAsia" w:hAnsiTheme="majorHAnsi" w:cstheme="majorBidi"/>
      <w:spacing w:val="-10"/>
      <w:kern w:val="28"/>
      <w:sz w:val="56"/>
      <w:szCs w:val="56"/>
      <w:lang w:eastAsia="ru-RU"/>
    </w:rPr>
  </w:style>
  <w:style w:type="character" w:customStyle="1" w:styleId="ac">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1"/>
    <w:link w:val="ab"/>
    <w:locked/>
    <w:rsid w:val="00F23B47"/>
    <w:rPr>
      <w:rFonts w:ascii="Times New Roman" w:eastAsia="Calibri" w:hAnsi="Times New Roman" w:cs="Times New Roman"/>
      <w:sz w:val="28"/>
      <w:szCs w:val="28"/>
      <w:lang w:eastAsia="ru-RU"/>
    </w:rPr>
  </w:style>
  <w:style w:type="paragraph" w:styleId="ae">
    <w:name w:val="header"/>
    <w:basedOn w:val="a"/>
    <w:link w:val="af"/>
    <w:uiPriority w:val="99"/>
    <w:unhideWhenUsed/>
    <w:rsid w:val="00F23B47"/>
    <w:pPr>
      <w:tabs>
        <w:tab w:val="center" w:pos="4677"/>
        <w:tab w:val="right" w:pos="9355"/>
      </w:tabs>
    </w:pPr>
  </w:style>
  <w:style w:type="character" w:customStyle="1" w:styleId="af">
    <w:name w:val="Верхний колонтитул Знак"/>
    <w:basedOn w:val="a0"/>
    <w:link w:val="ae"/>
    <w:uiPriority w:val="99"/>
    <w:rsid w:val="00F23B4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23B47"/>
    <w:pPr>
      <w:tabs>
        <w:tab w:val="center" w:pos="4677"/>
        <w:tab w:val="right" w:pos="9355"/>
      </w:tabs>
    </w:pPr>
  </w:style>
  <w:style w:type="character" w:customStyle="1" w:styleId="af1">
    <w:name w:val="Нижний колонтитул Знак"/>
    <w:basedOn w:val="a0"/>
    <w:link w:val="af0"/>
    <w:uiPriority w:val="99"/>
    <w:rsid w:val="00F23B47"/>
    <w:rPr>
      <w:rFonts w:ascii="Times New Roman" w:eastAsia="Times New Roman" w:hAnsi="Times New Roman" w:cs="Times New Roman"/>
      <w:sz w:val="24"/>
      <w:szCs w:val="24"/>
      <w:lang w:eastAsia="ru-RU"/>
    </w:rPr>
  </w:style>
  <w:style w:type="paragraph" w:customStyle="1" w:styleId="ConsPlusNormal">
    <w:name w:val="ConsPlusNormal"/>
    <w:rsid w:val="00372688"/>
    <w:pPr>
      <w:widowControl w:val="0"/>
      <w:autoSpaceDE w:val="0"/>
      <w:autoSpaceDN w:val="0"/>
      <w:spacing w:after="0" w:line="240" w:lineRule="auto"/>
    </w:pPr>
    <w:rPr>
      <w:rFonts w:ascii="Calibri" w:eastAsia="Times New Roman" w:hAnsi="Calibri" w:cs="Calibri"/>
      <w:szCs w:val="20"/>
      <w:lang w:eastAsia="ru-RU"/>
    </w:rPr>
  </w:style>
  <w:style w:type="table" w:styleId="af2">
    <w:name w:val="Table Grid"/>
    <w:basedOn w:val="a1"/>
    <w:uiPriority w:val="39"/>
    <w:rsid w:val="0037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7268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00"/>
      <c:rAngAx val="0"/>
      <c:perspective val="30"/>
    </c:view3D>
    <c:floor>
      <c:thickness val="0"/>
    </c:floor>
    <c:sideWall>
      <c:thickness val="0"/>
    </c:sideWall>
    <c:backWall>
      <c:thickness val="0"/>
    </c:backWall>
    <c:plotArea>
      <c:layout>
        <c:manualLayout>
          <c:layoutTarget val="inner"/>
          <c:xMode val="edge"/>
          <c:yMode val="edge"/>
          <c:x val="0.20420362679578538"/>
          <c:y val="0.15254237288135725"/>
          <c:w val="0.70034212851421251"/>
          <c:h val="0.66313559322034188"/>
        </c:manualLayout>
      </c:layout>
      <c:pie3DChart>
        <c:varyColors val="1"/>
        <c:ser>
          <c:idx val="0"/>
          <c:order val="0"/>
          <c:tx>
            <c:strRef>
              <c:f>Лист1!$B$1</c:f>
              <c:strCache>
                <c:ptCount val="1"/>
                <c:pt idx="0">
                  <c:v>Продажи</c:v>
                </c:pt>
              </c:strCache>
            </c:strRef>
          </c:tx>
          <c:spPr>
            <a:ln>
              <a:solidFill>
                <a:schemeClr val="tx1"/>
              </a:solidFill>
            </a:ln>
          </c:spPr>
          <c:explosion val="26"/>
          <c:dLbls>
            <c:dLbl>
              <c:idx val="0"/>
              <c:layout>
                <c:manualLayout>
                  <c:x val="-5.7743025910941777E-2"/>
                  <c:y val="-4.4544609089218194E-2"/>
                </c:manualLayout>
              </c:layout>
              <c:tx>
                <c:rich>
                  <a:bodyPr/>
                  <a:lstStyle/>
                  <a:p>
                    <a:r>
                      <a:rPr lang="ru-RU">
                        <a:latin typeface="Times New Roman" pitchFamily="18" charset="0"/>
                        <a:cs typeface="Times New Roman" pitchFamily="18" charset="0"/>
                      </a:rPr>
                      <a:t>Продоволь-ственные магазины
46,2%</a:t>
                    </a:r>
                  </a:p>
                </c:rich>
              </c:tx>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521-4EFE-B89D-D2726BC883DA}"/>
                </c:ext>
              </c:extLst>
            </c:dLbl>
            <c:dLbl>
              <c:idx val="1"/>
              <c:layout>
                <c:manualLayout>
                  <c:x val="-8.1445879167605653E-4"/>
                  <c:y val="-0.12564366462066257"/>
                </c:manualLayout>
              </c:layout>
              <c:tx>
                <c:rich>
                  <a:bodyPr wrap="square" lIns="38100" tIns="19050" rIns="38100" bIns="19050" anchor="ctr">
                    <a:noAutofit/>
                  </a:bodyPr>
                  <a:lstStyle/>
                  <a:p>
                    <a:pPr>
                      <a:defRPr/>
                    </a:pPr>
                    <a:r>
                      <a:rPr lang="ru-RU">
                        <a:latin typeface="Times New Roman" pitchFamily="18" charset="0"/>
                        <a:cs typeface="Times New Roman" pitchFamily="18" charset="0"/>
                      </a:rPr>
                      <a:t>Непродоволь-ственные магазины
43,04%</a:t>
                    </a:r>
                  </a:p>
                </c:rich>
              </c:tx>
              <c:spPr>
                <a:noFill/>
                <a:ln>
                  <a:noFill/>
                </a:ln>
                <a:effectLst/>
              </c:spPr>
              <c:showLegendKey val="0"/>
              <c:showVal val="0"/>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19789340193861907"/>
                      <c:h val="0.26246719160104987"/>
                    </c:manualLayout>
                  </c15:layout>
                </c:ext>
                <c:ext xmlns:c16="http://schemas.microsoft.com/office/drawing/2014/chart" uri="{C3380CC4-5D6E-409C-BE32-E72D297353CC}">
                  <c16:uniqueId val="{00000001-2521-4EFE-B89D-D2726BC883DA}"/>
                </c:ext>
              </c:extLst>
            </c:dLbl>
            <c:dLbl>
              <c:idx val="2"/>
              <c:layout>
                <c:manualLayout>
                  <c:x val="0.25365574079186226"/>
                  <c:y val="-0.11985450637567953"/>
                </c:manualLayout>
              </c:layout>
              <c:tx>
                <c:rich>
                  <a:bodyPr/>
                  <a:lstStyle/>
                  <a:p>
                    <a:r>
                      <a:rPr lang="ru-RU">
                        <a:latin typeface="Times New Roman" pitchFamily="18" charset="0"/>
                        <a:cs typeface="Times New Roman" pitchFamily="18" charset="0"/>
                      </a:rPr>
                      <a:t>Универсальные магазины
6,33%</a:t>
                    </a:r>
                  </a:p>
                </c:rich>
              </c:tx>
              <c:showLegendKey val="0"/>
              <c:showVal val="0"/>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521-4EFE-B89D-D2726BC883DA}"/>
                </c:ext>
              </c:extLst>
            </c:dLbl>
            <c:dLbl>
              <c:idx val="3"/>
              <c:layout>
                <c:manualLayout>
                  <c:x val="-0.19372578427696577"/>
                  <c:y val="-9.7930022526711666E-2"/>
                </c:manualLayout>
              </c:layout>
              <c:tx>
                <c:rich>
                  <a:bodyPr/>
                  <a:lstStyle/>
                  <a:p>
                    <a:r>
                      <a:rPr lang="ru-RU">
                        <a:latin typeface="Times New Roman" pitchFamily="18" charset="0"/>
                        <a:cs typeface="Times New Roman" pitchFamily="18" charset="0"/>
                      </a:rPr>
                      <a:t>Супермаркеты
4,43%</a:t>
                    </a:r>
                  </a:p>
                </c:rich>
              </c:tx>
              <c:showLegendKey val="0"/>
              <c:showVal val="0"/>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521-4EFE-B89D-D2726BC883DA}"/>
                </c:ext>
              </c:extLst>
            </c:dLbl>
            <c:spPr>
              <a:noFill/>
              <a:ln>
                <a:noFill/>
              </a:ln>
              <a:effectLst/>
            </c:spPr>
            <c:showLegendKey val="0"/>
            <c:showVal val="0"/>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4"/>
                <c:pt idx="0">
                  <c:v>Продовольственные магазины</c:v>
                </c:pt>
                <c:pt idx="1">
                  <c:v>Непродовольственные магазины</c:v>
                </c:pt>
                <c:pt idx="2">
                  <c:v>Универсальные магазины</c:v>
                </c:pt>
                <c:pt idx="3">
                  <c:v>Супермаркеты</c:v>
                </c:pt>
              </c:strCache>
            </c:strRef>
          </c:cat>
          <c:val>
            <c:numRef>
              <c:f>Лист1!$B$2:$B$5</c:f>
              <c:numCache>
                <c:formatCode>General</c:formatCode>
                <c:ptCount val="4"/>
                <c:pt idx="0">
                  <c:v>146</c:v>
                </c:pt>
                <c:pt idx="1">
                  <c:v>136</c:v>
                </c:pt>
                <c:pt idx="2">
                  <c:v>20</c:v>
                </c:pt>
                <c:pt idx="3">
                  <c:v>14</c:v>
                </c:pt>
              </c:numCache>
            </c:numRef>
          </c:val>
          <c:extLst xmlns:c16r2="http://schemas.microsoft.com/office/drawing/2015/06/chart">
            <c:ext xmlns:c16="http://schemas.microsoft.com/office/drawing/2014/chart" uri="{C3380CC4-5D6E-409C-BE32-E72D297353CC}">
              <c16:uniqueId val="{00000004-2521-4EFE-B89D-D2726BC883DA}"/>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161</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Gnezdilova</dc:creator>
  <cp:lastModifiedBy>Пользователь Windows</cp:lastModifiedBy>
  <cp:revision>14</cp:revision>
  <cp:lastPrinted>2021-02-24T08:45:00Z</cp:lastPrinted>
  <dcterms:created xsi:type="dcterms:W3CDTF">2020-05-08T08:30:00Z</dcterms:created>
  <dcterms:modified xsi:type="dcterms:W3CDTF">2021-03-11T09:33:00Z</dcterms:modified>
</cp:coreProperties>
</file>