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FC" w:rsidRPr="00BA3E26" w:rsidRDefault="00BA3E26" w:rsidP="00BA3E26">
      <w:pPr>
        <w:ind w:firstLine="0"/>
        <w:rPr>
          <w:rFonts w:eastAsiaTheme="minorHAnsi"/>
          <w:b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Theme="minorHAnsi"/>
          <w:b/>
          <w:color w:val="000000" w:themeColor="text1"/>
          <w:sz w:val="28"/>
          <w:szCs w:val="28"/>
          <w:lang w:val="ru-RU" w:eastAsia="en-US"/>
        </w:rPr>
        <w:t>СУРГУТСКИЙ РАЙОН</w:t>
      </w:r>
    </w:p>
    <w:p w:rsidR="00B87D0B" w:rsidRPr="00BA3E26" w:rsidRDefault="00B87D0B" w:rsidP="00BA3E26">
      <w:pPr>
        <w:widowControl w:val="0"/>
        <w:ind w:firstLine="0"/>
        <w:rPr>
          <w:color w:val="000000" w:themeColor="text1"/>
          <w:sz w:val="28"/>
          <w:szCs w:val="28"/>
          <w:lang w:val="ru-RU"/>
        </w:rPr>
      </w:pPr>
      <w:r w:rsidRPr="00BA3E26">
        <w:rPr>
          <w:color w:val="000000" w:themeColor="text1"/>
          <w:sz w:val="28"/>
          <w:szCs w:val="28"/>
          <w:lang w:val="ru-RU"/>
        </w:rPr>
        <w:t>Оборот розничной торговли по всем каналам реализации составил по оценке в 2020 году 20 692 млн. руб., что на 0,01 % больше, чем в 2019 году.</w:t>
      </w:r>
    </w:p>
    <w:p w:rsidR="00B87D0B" w:rsidRPr="00BA3E26" w:rsidRDefault="00B87D0B" w:rsidP="00BA3E26">
      <w:pPr>
        <w:widowControl w:val="0"/>
        <w:ind w:firstLine="0"/>
        <w:rPr>
          <w:color w:val="000000" w:themeColor="text1"/>
          <w:sz w:val="28"/>
          <w:szCs w:val="28"/>
          <w:lang w:val="ru-RU"/>
        </w:rPr>
      </w:pPr>
      <w:r w:rsidRPr="00BA3E26">
        <w:rPr>
          <w:color w:val="000000" w:themeColor="text1"/>
          <w:sz w:val="28"/>
          <w:szCs w:val="28"/>
          <w:lang w:val="ru-RU"/>
        </w:rPr>
        <w:t xml:space="preserve">По данным проводимого в поселениях района мониторинга розничных цен на отдельные виды социально-значимых продовольственных товаров в среднем по Сургутскому району за 2020 год по сравнению с 2019 годом (декабрь к декабрю) наблюдался как рост, так и снижение цен на продовольственные товары. </w:t>
      </w:r>
    </w:p>
    <w:p w:rsidR="00B87D0B" w:rsidRPr="00BA3E26" w:rsidRDefault="00C15C80" w:rsidP="00BA3E26">
      <w:pPr>
        <w:widowControl w:val="0"/>
        <w:ind w:firstLine="0"/>
        <w:rPr>
          <w:color w:val="000000" w:themeColor="text1"/>
          <w:sz w:val="28"/>
          <w:szCs w:val="28"/>
          <w:lang w:val="ru-RU"/>
        </w:rPr>
      </w:pPr>
      <w:r w:rsidRPr="00BA3E26">
        <w:rPr>
          <w:color w:val="000000" w:themeColor="text1"/>
          <w:sz w:val="28"/>
          <w:szCs w:val="28"/>
          <w:lang w:val="ru-RU"/>
        </w:rPr>
        <w:t xml:space="preserve">В целом </w:t>
      </w:r>
      <w:r w:rsidR="00B87D0B" w:rsidRPr="00BA3E26">
        <w:rPr>
          <w:color w:val="000000" w:themeColor="text1"/>
          <w:sz w:val="28"/>
          <w:szCs w:val="28"/>
          <w:lang w:val="ru-RU"/>
        </w:rPr>
        <w:t xml:space="preserve">стоимость продуктовой корзины из 33 наименований продовольственных товаров </w:t>
      </w:r>
      <w:r w:rsidRPr="00BA3E26">
        <w:rPr>
          <w:color w:val="000000" w:themeColor="text1"/>
          <w:sz w:val="28"/>
          <w:szCs w:val="28"/>
          <w:lang w:val="ru-RU"/>
        </w:rPr>
        <w:t>выросла на 5,2%</w:t>
      </w:r>
      <w:r w:rsidR="007B6FF5">
        <w:rPr>
          <w:color w:val="000000" w:themeColor="text1"/>
          <w:sz w:val="28"/>
          <w:szCs w:val="28"/>
          <w:lang w:val="ru-RU"/>
        </w:rPr>
        <w:t xml:space="preserve"> </w:t>
      </w:r>
      <w:r w:rsidRPr="00BA3E26">
        <w:rPr>
          <w:color w:val="000000" w:themeColor="text1"/>
          <w:sz w:val="28"/>
          <w:szCs w:val="28"/>
          <w:lang w:val="ru-RU"/>
        </w:rPr>
        <w:t>и</w:t>
      </w:r>
      <w:r w:rsidR="007B6FF5">
        <w:rPr>
          <w:color w:val="000000" w:themeColor="text1"/>
          <w:sz w:val="28"/>
          <w:szCs w:val="28"/>
          <w:lang w:val="ru-RU"/>
        </w:rPr>
        <w:t xml:space="preserve"> </w:t>
      </w:r>
      <w:r w:rsidR="00B87D0B" w:rsidRPr="00BA3E26">
        <w:rPr>
          <w:color w:val="000000" w:themeColor="text1"/>
          <w:sz w:val="28"/>
          <w:szCs w:val="28"/>
          <w:lang w:val="ru-RU"/>
        </w:rPr>
        <w:t>составила по району 4 953,47 рубля.</w:t>
      </w:r>
    </w:p>
    <w:p w:rsidR="00C15C80" w:rsidRPr="00BA3E26" w:rsidRDefault="00C15C80" w:rsidP="00BA3E26">
      <w:pPr>
        <w:keepLines/>
        <w:widowControl w:val="0"/>
        <w:ind w:firstLine="0"/>
        <w:rPr>
          <w:color w:val="000000" w:themeColor="text1"/>
          <w:sz w:val="28"/>
          <w:szCs w:val="28"/>
          <w:lang w:val="ru-RU"/>
        </w:rPr>
      </w:pPr>
      <w:proofErr w:type="gramStart"/>
      <w:r w:rsidRPr="00BA3E26">
        <w:rPr>
          <w:color w:val="000000" w:themeColor="text1"/>
          <w:sz w:val="28"/>
          <w:szCs w:val="28"/>
          <w:lang w:val="ru-RU"/>
        </w:rPr>
        <w:t>В целях реализации Указа Президента Российской Федерации от 06 августа 2014 года № 560 «О применении отдельных специальных экономических мер в целях обеспечения безопасности Российской Федерации», постановления Правительства Российской Федерации от 07 августа 2014 года № 778 «О мерах по реализации указов Президента Российской Федерации от 6 августа 2014 г. № 560, от 24 июня 2015 г. № 320, от 29 июня 2016 г</w:t>
      </w:r>
      <w:proofErr w:type="gramEnd"/>
      <w:r w:rsidRPr="00BA3E26">
        <w:rPr>
          <w:color w:val="000000" w:themeColor="text1"/>
          <w:sz w:val="28"/>
          <w:szCs w:val="28"/>
          <w:lang w:val="ru-RU"/>
        </w:rPr>
        <w:t xml:space="preserve">. № </w:t>
      </w:r>
      <w:proofErr w:type="gramStart"/>
      <w:r w:rsidRPr="00BA3E26">
        <w:rPr>
          <w:color w:val="000000" w:themeColor="text1"/>
          <w:sz w:val="28"/>
          <w:szCs w:val="28"/>
          <w:lang w:val="ru-RU"/>
        </w:rPr>
        <w:t>305, от 30 июня 2017 г. № 293, от 12 июля 2018 г. № 420 и от 24 июня 2019 г. № 293», распоряжения Правительства Ханты-Мансийского автономного округа – Югры от 29 августа 2014 года № 476-рп «О комплексе мер по обеспечению сбалансированности товарных рынков и недопущению необоснованного роста цен на сельскохозяйственную продукцию, сырье и продовольствие в Ханты-Мансийском автономном округе – Югре», а также в целях</w:t>
      </w:r>
      <w:proofErr w:type="gramEnd"/>
      <w:r w:rsidRPr="00BA3E26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BA3E26">
        <w:rPr>
          <w:color w:val="000000" w:themeColor="text1"/>
          <w:sz w:val="28"/>
          <w:szCs w:val="28"/>
          <w:lang w:val="ru-RU"/>
        </w:rPr>
        <w:t xml:space="preserve">своевременного выявления и предотвращения необоснованного повышения цен на социально значимые продовольственные товары на территории муниципального образования администрация района совместно с администрациями поселений района осуществляет еженедельный мониторинг цен на фиксированный набор товаров по муниципальному образованию с выявлением причин роста цен, еженедельное обследование по наличию в розничной продаже товаров отечественного и импортного производства. </w:t>
      </w:r>
      <w:proofErr w:type="gramEnd"/>
    </w:p>
    <w:p w:rsidR="00C15C80" w:rsidRPr="00BA3E26" w:rsidRDefault="00C15C80" w:rsidP="00BA3E26">
      <w:pPr>
        <w:keepLines/>
        <w:widowControl w:val="0"/>
        <w:ind w:firstLine="0"/>
        <w:rPr>
          <w:color w:val="000000" w:themeColor="text1"/>
          <w:sz w:val="28"/>
          <w:szCs w:val="28"/>
          <w:lang w:val="ru-RU"/>
        </w:rPr>
      </w:pPr>
      <w:r w:rsidRPr="00BA3E26">
        <w:rPr>
          <w:color w:val="000000" w:themeColor="text1"/>
          <w:sz w:val="28"/>
          <w:szCs w:val="28"/>
          <w:lang w:val="ru-RU"/>
        </w:rPr>
        <w:t>Также организована и функционирует «Горячая линия» для приема обращений граждан по поводу необоснованного роста цен.</w:t>
      </w:r>
    </w:p>
    <w:p w:rsidR="004924FC" w:rsidRPr="00BA3E26" w:rsidRDefault="004924FC" w:rsidP="00BA3E26">
      <w:pPr>
        <w:keepNext/>
        <w:widowControl w:val="0"/>
        <w:ind w:firstLine="0"/>
        <w:rPr>
          <w:color w:val="000000" w:themeColor="text1"/>
          <w:sz w:val="28"/>
          <w:szCs w:val="28"/>
          <w:lang w:val="ru-RU"/>
        </w:rPr>
      </w:pPr>
      <w:r w:rsidRPr="00BA3E26">
        <w:rPr>
          <w:color w:val="000000" w:themeColor="text1"/>
          <w:sz w:val="28"/>
          <w:szCs w:val="28"/>
          <w:lang w:val="ru-RU"/>
        </w:rPr>
        <w:t xml:space="preserve">В целях насыщения рынка товарами местных производителей, в том числе сельскохозяйственной продукцией, администрация Сургутского района </w:t>
      </w:r>
      <w:r w:rsidR="00473BA3" w:rsidRPr="00BA3E26">
        <w:rPr>
          <w:color w:val="000000" w:themeColor="text1"/>
          <w:sz w:val="28"/>
          <w:szCs w:val="28"/>
          <w:lang w:val="ru-RU"/>
        </w:rPr>
        <w:t>реализует</w:t>
      </w:r>
      <w:r w:rsidRPr="00BA3E26">
        <w:rPr>
          <w:color w:val="000000" w:themeColor="text1"/>
          <w:sz w:val="28"/>
          <w:szCs w:val="28"/>
          <w:lang w:val="ru-RU"/>
        </w:rPr>
        <w:t xml:space="preserve"> комплекс мер, направленных на</w:t>
      </w:r>
      <w:r w:rsidRPr="00BA3E26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3E26">
        <w:rPr>
          <w:color w:val="000000" w:themeColor="text1"/>
          <w:sz w:val="28"/>
          <w:szCs w:val="28"/>
          <w:lang w:val="ru-RU"/>
        </w:rPr>
        <w:t>удовлетворение потребностей населения продуктами питания, стабилизации цен на товары и услуги.</w:t>
      </w:r>
    </w:p>
    <w:p w:rsidR="003F44EF" w:rsidRPr="00BA3E26" w:rsidRDefault="004924FC" w:rsidP="007B6FF5">
      <w:pPr>
        <w:ind w:firstLine="0"/>
        <w:rPr>
          <w:rFonts w:ascii="Calibri" w:eastAsia="Calibri" w:hAnsi="Calibri"/>
          <w:color w:val="000000" w:themeColor="text1"/>
          <w:sz w:val="28"/>
          <w:szCs w:val="28"/>
          <w:lang w:val="ru-RU" w:eastAsia="en-US"/>
        </w:rPr>
      </w:pPr>
      <w:r w:rsidRPr="00BA3E26">
        <w:rPr>
          <w:color w:val="000000" w:themeColor="text1"/>
          <w:sz w:val="28"/>
          <w:szCs w:val="28"/>
          <w:lang w:val="ru-RU"/>
        </w:rPr>
        <w:t xml:space="preserve">С целью удовлетворения населения района качественными сельскохозяйственными товарами, а местных товаропроизводителей и фермеров – рынками сбыта, администрацией Сургутского района проводятся мероприятия, направленные на развитие ярмарочной </w:t>
      </w:r>
      <w:proofErr w:type="spellStart"/>
      <w:r w:rsidRPr="00BA3E26">
        <w:rPr>
          <w:color w:val="000000" w:themeColor="text1"/>
          <w:sz w:val="28"/>
          <w:szCs w:val="28"/>
          <w:lang w:val="ru-RU"/>
        </w:rPr>
        <w:t>торговли</w:t>
      </w:r>
      <w:proofErr w:type="gramStart"/>
      <w:r w:rsidRPr="00BA3E26">
        <w:rPr>
          <w:color w:val="000000" w:themeColor="text1"/>
          <w:sz w:val="28"/>
          <w:szCs w:val="28"/>
          <w:lang w:val="ru-RU"/>
        </w:rPr>
        <w:t>.</w:t>
      </w:r>
      <w:r w:rsidR="00C15C80" w:rsidRPr="00BA3E26">
        <w:rPr>
          <w:color w:val="000000" w:themeColor="text1"/>
          <w:sz w:val="28"/>
          <w:szCs w:val="28"/>
          <w:lang w:val="ru-RU"/>
        </w:rPr>
        <w:t>Н</w:t>
      </w:r>
      <w:proofErr w:type="gramEnd"/>
      <w:r w:rsidR="00C15C80" w:rsidRPr="00BA3E26">
        <w:rPr>
          <w:color w:val="000000" w:themeColor="text1"/>
          <w:sz w:val="28"/>
          <w:szCs w:val="28"/>
          <w:lang w:val="ru-RU"/>
        </w:rPr>
        <w:t>а</w:t>
      </w:r>
      <w:proofErr w:type="spellEnd"/>
      <w:r w:rsidR="00C15C80" w:rsidRPr="00BA3E26">
        <w:rPr>
          <w:color w:val="000000" w:themeColor="text1"/>
          <w:sz w:val="28"/>
          <w:szCs w:val="28"/>
          <w:lang w:val="ru-RU"/>
        </w:rPr>
        <w:t xml:space="preserve"> территории </w:t>
      </w:r>
      <w:proofErr w:type="spellStart"/>
      <w:r w:rsidR="00C15C80" w:rsidRPr="00BA3E26">
        <w:rPr>
          <w:color w:val="000000" w:themeColor="text1"/>
          <w:sz w:val="28"/>
          <w:szCs w:val="28"/>
          <w:lang w:val="ru-RU"/>
        </w:rPr>
        <w:t>Сургутского</w:t>
      </w:r>
      <w:proofErr w:type="spellEnd"/>
      <w:r w:rsidR="00C15C80" w:rsidRPr="00BA3E26">
        <w:rPr>
          <w:color w:val="000000" w:themeColor="text1"/>
          <w:sz w:val="28"/>
          <w:szCs w:val="28"/>
          <w:lang w:val="ru-RU"/>
        </w:rPr>
        <w:t xml:space="preserve"> района постоянно функционируют 27 постоянно действующих площадок для проведения праздничных, тематических, сельскохозяйственных, специализированных </w:t>
      </w:r>
      <w:proofErr w:type="spellStart"/>
      <w:r w:rsidR="00C15C80" w:rsidRPr="00BA3E26">
        <w:rPr>
          <w:color w:val="000000" w:themeColor="text1"/>
          <w:sz w:val="28"/>
          <w:szCs w:val="28"/>
          <w:lang w:val="ru-RU"/>
        </w:rPr>
        <w:t>ярмарок.В</w:t>
      </w:r>
      <w:proofErr w:type="spellEnd"/>
      <w:r w:rsidR="00C15C80" w:rsidRPr="00BA3E26">
        <w:rPr>
          <w:color w:val="000000" w:themeColor="text1"/>
          <w:sz w:val="28"/>
          <w:szCs w:val="28"/>
          <w:lang w:val="ru-RU"/>
        </w:rPr>
        <w:t xml:space="preserve"> 2020 году по причине введения ограничений в целях недопущения распространения </w:t>
      </w:r>
      <w:proofErr w:type="spellStart"/>
      <w:r w:rsidR="00C15C80" w:rsidRPr="00BA3E26">
        <w:rPr>
          <w:color w:val="000000" w:themeColor="text1"/>
          <w:sz w:val="28"/>
          <w:szCs w:val="28"/>
          <w:lang w:val="ru-RU"/>
        </w:rPr>
        <w:t>коронавирусной</w:t>
      </w:r>
      <w:proofErr w:type="spellEnd"/>
      <w:r w:rsidR="00C15C80" w:rsidRPr="00BA3E26">
        <w:rPr>
          <w:color w:val="000000" w:themeColor="text1"/>
          <w:sz w:val="28"/>
          <w:szCs w:val="28"/>
          <w:lang w:val="ru-RU"/>
        </w:rPr>
        <w:t xml:space="preserve"> инфекции и введения режима повышенной готовности на территории Ханты-Мансийского автономного округа - Югры снизилось количество проведенных ярма</w:t>
      </w:r>
      <w:bookmarkStart w:id="0" w:name="_GoBack"/>
      <w:bookmarkEnd w:id="0"/>
      <w:r w:rsidR="00C15C80" w:rsidRPr="00BA3E26">
        <w:rPr>
          <w:color w:val="000000" w:themeColor="text1"/>
          <w:sz w:val="28"/>
          <w:szCs w:val="28"/>
          <w:lang w:val="ru-RU"/>
        </w:rPr>
        <w:t>рок</w:t>
      </w:r>
      <w:r w:rsidR="007B6FF5">
        <w:rPr>
          <w:color w:val="000000" w:themeColor="text1"/>
          <w:sz w:val="28"/>
          <w:szCs w:val="28"/>
          <w:lang w:val="ru-RU"/>
        </w:rPr>
        <w:t xml:space="preserve"> </w:t>
      </w:r>
      <w:r w:rsidR="00C15C80" w:rsidRPr="00BA3E26">
        <w:rPr>
          <w:color w:val="000000" w:themeColor="text1"/>
          <w:sz w:val="28"/>
          <w:szCs w:val="28"/>
          <w:lang w:val="ru-RU"/>
        </w:rPr>
        <w:t>и фактически</w:t>
      </w:r>
      <w:r w:rsidR="007B6FF5">
        <w:rPr>
          <w:color w:val="000000" w:themeColor="text1"/>
          <w:sz w:val="28"/>
          <w:szCs w:val="28"/>
          <w:lang w:val="ru-RU"/>
        </w:rPr>
        <w:t xml:space="preserve"> </w:t>
      </w:r>
      <w:r w:rsidR="00C15C80" w:rsidRPr="00BA3E26">
        <w:rPr>
          <w:color w:val="000000" w:themeColor="text1"/>
          <w:sz w:val="28"/>
          <w:szCs w:val="28"/>
          <w:lang w:val="ru-RU"/>
        </w:rPr>
        <w:t>проведены 33 ярмарки, в том числе 11 - «Выходного дня», 5 - «Специализированные продовольственные», 9 - «Праздничные», 7 - «Специализированные непродовольственные» (меховые и текстильные изделия), 1 – «Специализированные прочие» (садовый инвентарь). В ярмарочных мероприятиях приняли участие 97 субъектов предпринимательства, организовано 122 торговых места, общий товарооборот ярмарок</w:t>
      </w:r>
      <w:r w:rsidR="007B6FF5">
        <w:rPr>
          <w:color w:val="000000" w:themeColor="text1"/>
          <w:sz w:val="28"/>
          <w:szCs w:val="28"/>
          <w:lang w:val="ru-RU"/>
        </w:rPr>
        <w:t xml:space="preserve"> </w:t>
      </w:r>
      <w:r w:rsidR="00C15C80" w:rsidRPr="00BA3E26">
        <w:rPr>
          <w:color w:val="000000" w:themeColor="text1"/>
          <w:sz w:val="28"/>
          <w:szCs w:val="28"/>
          <w:lang w:val="ru-RU"/>
        </w:rPr>
        <w:t xml:space="preserve">составил 2,167 млн. </w:t>
      </w:r>
      <w:proofErr w:type="spellStart"/>
      <w:r w:rsidR="00C15C80" w:rsidRPr="00BA3E26">
        <w:rPr>
          <w:color w:val="000000" w:themeColor="text1"/>
          <w:sz w:val="28"/>
          <w:szCs w:val="28"/>
          <w:lang w:val="ru-RU"/>
        </w:rPr>
        <w:t>руб</w:t>
      </w:r>
      <w:proofErr w:type="gramStart"/>
      <w:r w:rsidR="00C15C80" w:rsidRPr="00BA3E26">
        <w:rPr>
          <w:color w:val="000000" w:themeColor="text1"/>
          <w:sz w:val="28"/>
          <w:szCs w:val="28"/>
          <w:lang w:val="ru-RU"/>
        </w:rPr>
        <w:t>.М</w:t>
      </w:r>
      <w:proofErr w:type="gramEnd"/>
      <w:r w:rsidR="00C15C80" w:rsidRPr="00BA3E26">
        <w:rPr>
          <w:color w:val="000000" w:themeColor="text1"/>
          <w:sz w:val="28"/>
          <w:szCs w:val="28"/>
          <w:lang w:val="ru-RU"/>
        </w:rPr>
        <w:t>атериально</w:t>
      </w:r>
      <w:proofErr w:type="spellEnd"/>
      <w:r w:rsidR="00C15C80" w:rsidRPr="00BA3E26">
        <w:rPr>
          <w:color w:val="000000" w:themeColor="text1"/>
          <w:sz w:val="28"/>
          <w:szCs w:val="28"/>
          <w:lang w:val="ru-RU"/>
        </w:rPr>
        <w:t xml:space="preserve"> – техническая база розничной торговли Сургутского района представлена 500 торговыми объектами общей </w:t>
      </w:r>
      <w:r w:rsidR="00C15C80" w:rsidRPr="00BA3E26">
        <w:rPr>
          <w:color w:val="000000" w:themeColor="text1"/>
          <w:sz w:val="28"/>
          <w:szCs w:val="28"/>
          <w:lang w:val="ru-RU"/>
        </w:rPr>
        <w:lastRenderedPageBreak/>
        <w:t>торговой площадью 83 275 кв. м, в число которых входят: 21 торговый центр (31 417,8 кв. м), 290 магазинов (45 369 кв. м), 189 нестационарных торговых объектов (6 488,2 кв. м).</w:t>
      </w:r>
      <w:r w:rsidR="007B6FF5">
        <w:rPr>
          <w:color w:val="000000" w:themeColor="text1"/>
          <w:sz w:val="28"/>
          <w:szCs w:val="28"/>
          <w:lang w:val="ru-RU"/>
        </w:rPr>
        <w:t xml:space="preserve"> 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proofErr w:type="gram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Всего в отчётном году к специалистам по защите прав потребителей (включая специалистов в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г.п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  <w:proofErr w:type="gram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Лянтор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и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г.п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</w:t>
      </w:r>
      <w:proofErr w:type="gram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Фёдоровский) в 2020 году поступило 398 обращений, из них: администрация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г.п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  <w:proofErr w:type="gram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Лянтор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- 52 обращения,</w:t>
      </w:r>
      <w:r w:rsidR="007B6FF5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администрация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г.п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. Фёдоровский - 50 обращений, администраци</w:t>
      </w:r>
      <w:r w:rsidR="00473BA3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я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Сургутского района - 296 обращений потребителей, в том числе посредством социальной сети «ВКОНТАКТЕ», группы «Защита прав потребителей Сургутского района», официальной страницы в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Inst</w:t>
      </w:r>
      <w:proofErr w:type="gram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а</w:t>
      </w:r>
      <w:proofErr w:type="gram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gram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@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budget_news_admsr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, сообщества «Народный контроль» мессенджера «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Viber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».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proofErr w:type="gram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Проведено 14 мероприятий, направленных на повышение правовой грамотности жителей Сургутского района (с охватом 4 292 человек</w:t>
      </w:r>
      <w:r w:rsidR="00E545AC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а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), в том числе 6 семинаров с субъектами предпринимательства, 3 встречи с жителями и трудовыми коллективами Сургутского района, 1 урок со старшеклассниками общеобразовательной школы, 3 прямых эфира по вопросам защиты прав потребителей через социальную сеть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Instagram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, также принято участие в 1 онлайн-родительском собрании в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YouTube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  <w:proofErr w:type="gramEnd"/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Подготовлен</w:t>
      </w:r>
      <w:r w:rsidR="00E545AC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о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и размещен</w:t>
      </w:r>
      <w:r w:rsidR="00E545AC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о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2 795 информационны</w:t>
      </w:r>
      <w:r w:rsidR="00E545AC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х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материал</w:t>
      </w:r>
      <w:r w:rsidR="00E545AC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ов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в сети Интернет, электронных средствах массовой информации, на официальном сайте администрации Сургутского района, официальных сайтах администраций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г.п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Лянтор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и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г.п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</w:t>
      </w:r>
      <w:proofErr w:type="gram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Федоровский</w:t>
      </w:r>
      <w:proofErr w:type="gram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а также социальных сетях, телевидении, печатных изданиях.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ab/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Специалистами по защите прав потребителей проводилась следующая консультационно-разъяснительная работа.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Проведено: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13 телефонных «горячих линий»;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7 мероприятий по оценке уровня правовой грамотности населения (тестирование) (охват</w:t>
      </w:r>
      <w:r w:rsidR="007B6FF5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="00473BA3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- 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1063 человек</w:t>
      </w:r>
      <w:r w:rsidR="00E545AC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а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).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proofErr w:type="gram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Ко</w:t>
      </w:r>
      <w:proofErr w:type="gram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Всемирному дню защиты прав потребителей проведено 63 мероприятия: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- 2 конкурса кроссворда на тему «Знай свои права!» и «Права и обязанность потребителя». 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-</w:t>
      </w:r>
      <w:r w:rsidR="00473BA3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викторина на тему «Потребитель всегда прав?!»;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-</w:t>
      </w:r>
      <w:r w:rsidR="00473BA3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конкурс детских рисунков на тему «Рациональный потребитель»;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-</w:t>
      </w:r>
      <w:r w:rsidR="00473BA3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в общеобразовательных учреждениях Сургутского района проведены уроки (59 классных часов), посвященные Всемирному дню защиты прав потребителей. 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На официальных сайтах администрации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Сургутского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района, администраций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г.п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Лянтор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и </w:t>
      </w:r>
      <w:proofErr w:type="spell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г.п</w:t>
      </w:r>
      <w:proofErr w:type="spellEnd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. Федоровский регулярно размещается информация об изменениях действующего законодательства, образцы претензий и исковых заявлений, рекомендации специалиста по защите прав потребителей, памятки о действиях потребителя, контактные телефоны экспертных организаций и специалистов по защите прав потребителей.</w:t>
      </w:r>
    </w:p>
    <w:p w:rsidR="003F44EF" w:rsidRPr="00BA3E26" w:rsidRDefault="003F44EF" w:rsidP="00BA3E26">
      <w:pPr>
        <w:widowControl w:val="0"/>
        <w:ind w:firstLine="0"/>
        <w:rPr>
          <w:rFonts w:eastAsia="Calibri"/>
          <w:color w:val="000000" w:themeColor="text1"/>
          <w:sz w:val="28"/>
          <w:szCs w:val="28"/>
          <w:lang w:val="ru-RU" w:eastAsia="en-US"/>
        </w:rPr>
      </w:pPr>
      <w:proofErr w:type="gramStart"/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В 2020 году распространено около 23,9 тыс. экз. информационных материалов (в виде буклетов, памяток) по защите прав потребителей, в том числе через МКУ «МФЦ Сургутского района» (6,4 тыс. экз.), среди субъектов предпринимательства Сургутского района (1,8 тыс. экз.), среди жителей Сургутского района (15,4 тыс. экз.), на информационном стенде (0,3 экз.)</w:t>
      </w:r>
      <w:r w:rsidR="001C6DC5"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  <w:r w:rsidR="007B6FF5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proofErr w:type="gramEnd"/>
    </w:p>
    <w:p w:rsidR="00C15C80" w:rsidRPr="00BA3E26" w:rsidRDefault="00C15C80" w:rsidP="00BA3E26">
      <w:pPr>
        <w:widowControl w:val="0"/>
        <w:ind w:firstLine="0"/>
        <w:rPr>
          <w:rFonts w:ascii="Calibri" w:eastAsia="Calibri" w:hAnsi="Calibri"/>
          <w:color w:val="000000" w:themeColor="text1"/>
          <w:sz w:val="28"/>
          <w:szCs w:val="28"/>
          <w:lang w:val="ru-RU" w:eastAsia="en-US"/>
        </w:rPr>
      </w:pPr>
      <w:r w:rsidRPr="00BA3E26">
        <w:rPr>
          <w:rFonts w:eastAsia="Calibri"/>
          <w:color w:val="000000" w:themeColor="text1"/>
          <w:sz w:val="28"/>
          <w:szCs w:val="28"/>
          <w:lang w:val="ru-RU" w:eastAsia="en-US"/>
        </w:rPr>
        <w:t>В 2020 году администрация Сургутского района информировала Общественный совет муниципального образования Сургутский район о поступлении двух жалоб от жителей района в связи с нарушением торговыми предприятиями правил торговли. По данным обращениям Общественным советом был проведен общественный контроль в двух торговых точках.</w:t>
      </w:r>
      <w:r w:rsidR="007B6FF5">
        <w:rPr>
          <w:rFonts w:ascii="Calibri" w:eastAsia="Calibri" w:hAnsi="Calibri"/>
          <w:color w:val="000000" w:themeColor="text1"/>
          <w:sz w:val="28"/>
          <w:szCs w:val="28"/>
          <w:lang w:val="ru-RU" w:eastAsia="en-US"/>
        </w:rPr>
        <w:t xml:space="preserve"> </w:t>
      </w:r>
    </w:p>
    <w:sectPr w:rsidR="00C15C80" w:rsidRPr="00BA3E26" w:rsidSect="00BA3E26"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87" w:rsidRDefault="00AB7C87" w:rsidP="00A97CAF">
      <w:r>
        <w:separator/>
      </w:r>
    </w:p>
  </w:endnote>
  <w:endnote w:type="continuationSeparator" w:id="0">
    <w:p w:rsidR="00AB7C87" w:rsidRDefault="00AB7C87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87" w:rsidRDefault="00AB7C87" w:rsidP="00A97CAF">
      <w:r>
        <w:separator/>
      </w:r>
    </w:p>
  </w:footnote>
  <w:footnote w:type="continuationSeparator" w:id="0">
    <w:p w:rsidR="00AB7C87" w:rsidRDefault="00AB7C87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B29"/>
    <w:multiLevelType w:val="hybridMultilevel"/>
    <w:tmpl w:val="4BF2ED24"/>
    <w:lvl w:ilvl="0" w:tplc="5F965F0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06531C"/>
    <w:multiLevelType w:val="hybridMultilevel"/>
    <w:tmpl w:val="DFEE463A"/>
    <w:lvl w:ilvl="0" w:tplc="75EEB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8D6BD3"/>
    <w:multiLevelType w:val="hybridMultilevel"/>
    <w:tmpl w:val="93B2BD3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275DF"/>
    <w:multiLevelType w:val="hybridMultilevel"/>
    <w:tmpl w:val="4C84C510"/>
    <w:lvl w:ilvl="0" w:tplc="F9FA9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125402"/>
    <w:multiLevelType w:val="hybridMultilevel"/>
    <w:tmpl w:val="20A000E4"/>
    <w:lvl w:ilvl="0" w:tplc="FA08BAEA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211D1"/>
    <w:rsid w:val="00037C0B"/>
    <w:rsid w:val="000449E6"/>
    <w:rsid w:val="000A4675"/>
    <w:rsid w:val="000D5C32"/>
    <w:rsid w:val="001309C8"/>
    <w:rsid w:val="00173A48"/>
    <w:rsid w:val="00192B3C"/>
    <w:rsid w:val="001B175A"/>
    <w:rsid w:val="001B3EE4"/>
    <w:rsid w:val="001C6DC5"/>
    <w:rsid w:val="001E5CFA"/>
    <w:rsid w:val="001F2286"/>
    <w:rsid w:val="00204B74"/>
    <w:rsid w:val="00210E88"/>
    <w:rsid w:val="0021577E"/>
    <w:rsid w:val="002271CC"/>
    <w:rsid w:val="00234C12"/>
    <w:rsid w:val="00241FC4"/>
    <w:rsid w:val="002573D6"/>
    <w:rsid w:val="00263DF1"/>
    <w:rsid w:val="00271ED5"/>
    <w:rsid w:val="00274415"/>
    <w:rsid w:val="00281807"/>
    <w:rsid w:val="002A3696"/>
    <w:rsid w:val="002C3A43"/>
    <w:rsid w:val="002D41C8"/>
    <w:rsid w:val="002E3A32"/>
    <w:rsid w:val="00302CA4"/>
    <w:rsid w:val="00307F47"/>
    <w:rsid w:val="003114EE"/>
    <w:rsid w:val="003240A8"/>
    <w:rsid w:val="003272CA"/>
    <w:rsid w:val="00354621"/>
    <w:rsid w:val="00385FC3"/>
    <w:rsid w:val="0039113C"/>
    <w:rsid w:val="003E0326"/>
    <w:rsid w:val="003E12FF"/>
    <w:rsid w:val="003F024F"/>
    <w:rsid w:val="003F44EF"/>
    <w:rsid w:val="00407BBF"/>
    <w:rsid w:val="0041208B"/>
    <w:rsid w:val="004265C7"/>
    <w:rsid w:val="004319B6"/>
    <w:rsid w:val="004362C4"/>
    <w:rsid w:val="0044421C"/>
    <w:rsid w:val="00444B60"/>
    <w:rsid w:val="00447A5C"/>
    <w:rsid w:val="004611B3"/>
    <w:rsid w:val="00462516"/>
    <w:rsid w:val="00463B27"/>
    <w:rsid w:val="00470E1A"/>
    <w:rsid w:val="00473BA3"/>
    <w:rsid w:val="004849FA"/>
    <w:rsid w:val="004910B4"/>
    <w:rsid w:val="004924FC"/>
    <w:rsid w:val="0049329D"/>
    <w:rsid w:val="004D2AAA"/>
    <w:rsid w:val="004F6E38"/>
    <w:rsid w:val="0052413A"/>
    <w:rsid w:val="00547DAC"/>
    <w:rsid w:val="00554256"/>
    <w:rsid w:val="005620E4"/>
    <w:rsid w:val="00575271"/>
    <w:rsid w:val="00577B14"/>
    <w:rsid w:val="00584220"/>
    <w:rsid w:val="005A5C8A"/>
    <w:rsid w:val="005C36C4"/>
    <w:rsid w:val="005C3C6B"/>
    <w:rsid w:val="005F423C"/>
    <w:rsid w:val="0060545E"/>
    <w:rsid w:val="00650400"/>
    <w:rsid w:val="00655084"/>
    <w:rsid w:val="00663B69"/>
    <w:rsid w:val="00677A0A"/>
    <w:rsid w:val="0068253F"/>
    <w:rsid w:val="006964E7"/>
    <w:rsid w:val="006B0FE1"/>
    <w:rsid w:val="006B7C68"/>
    <w:rsid w:val="006C3E1F"/>
    <w:rsid w:val="006C4AE8"/>
    <w:rsid w:val="00735AFE"/>
    <w:rsid w:val="00752E28"/>
    <w:rsid w:val="00763128"/>
    <w:rsid w:val="00791BBE"/>
    <w:rsid w:val="007B6FF5"/>
    <w:rsid w:val="007C3983"/>
    <w:rsid w:val="007D09D1"/>
    <w:rsid w:val="007E7EF4"/>
    <w:rsid w:val="007F3552"/>
    <w:rsid w:val="007F4E88"/>
    <w:rsid w:val="007F7561"/>
    <w:rsid w:val="00807E12"/>
    <w:rsid w:val="00855733"/>
    <w:rsid w:val="008574E1"/>
    <w:rsid w:val="00873062"/>
    <w:rsid w:val="008807C9"/>
    <w:rsid w:val="008C0FDB"/>
    <w:rsid w:val="008D03BE"/>
    <w:rsid w:val="008E2665"/>
    <w:rsid w:val="009711AD"/>
    <w:rsid w:val="00981FAF"/>
    <w:rsid w:val="009C0910"/>
    <w:rsid w:val="00A35D8E"/>
    <w:rsid w:val="00A56028"/>
    <w:rsid w:val="00A76E3E"/>
    <w:rsid w:val="00A855C9"/>
    <w:rsid w:val="00A97CAF"/>
    <w:rsid w:val="00AA028C"/>
    <w:rsid w:val="00AB08C9"/>
    <w:rsid w:val="00AB7C87"/>
    <w:rsid w:val="00AC5612"/>
    <w:rsid w:val="00AF0362"/>
    <w:rsid w:val="00B02035"/>
    <w:rsid w:val="00B13843"/>
    <w:rsid w:val="00B27A4F"/>
    <w:rsid w:val="00B46754"/>
    <w:rsid w:val="00B557BD"/>
    <w:rsid w:val="00B655C0"/>
    <w:rsid w:val="00B87D0B"/>
    <w:rsid w:val="00B9057E"/>
    <w:rsid w:val="00B93FCB"/>
    <w:rsid w:val="00BA3E26"/>
    <w:rsid w:val="00BB167A"/>
    <w:rsid w:val="00BB677C"/>
    <w:rsid w:val="00BC05EE"/>
    <w:rsid w:val="00BC51A9"/>
    <w:rsid w:val="00BD7E67"/>
    <w:rsid w:val="00C01BBD"/>
    <w:rsid w:val="00C15C80"/>
    <w:rsid w:val="00C3515D"/>
    <w:rsid w:val="00C44007"/>
    <w:rsid w:val="00C54BB5"/>
    <w:rsid w:val="00C71B78"/>
    <w:rsid w:val="00C751A2"/>
    <w:rsid w:val="00CC48A5"/>
    <w:rsid w:val="00CC5136"/>
    <w:rsid w:val="00CF54DC"/>
    <w:rsid w:val="00D34C1B"/>
    <w:rsid w:val="00D475E1"/>
    <w:rsid w:val="00D556EE"/>
    <w:rsid w:val="00D817DD"/>
    <w:rsid w:val="00D90D0A"/>
    <w:rsid w:val="00E2253B"/>
    <w:rsid w:val="00E31DAB"/>
    <w:rsid w:val="00E3296D"/>
    <w:rsid w:val="00E4355F"/>
    <w:rsid w:val="00E4714E"/>
    <w:rsid w:val="00E51400"/>
    <w:rsid w:val="00E545AC"/>
    <w:rsid w:val="00E7510E"/>
    <w:rsid w:val="00EA0327"/>
    <w:rsid w:val="00ED552E"/>
    <w:rsid w:val="00EE14E2"/>
    <w:rsid w:val="00EF0728"/>
    <w:rsid w:val="00F1346B"/>
    <w:rsid w:val="00F160AF"/>
    <w:rsid w:val="00F4016A"/>
    <w:rsid w:val="00F50C45"/>
    <w:rsid w:val="00F576C5"/>
    <w:rsid w:val="00F61A1B"/>
    <w:rsid w:val="00F6410D"/>
    <w:rsid w:val="00F71FE4"/>
    <w:rsid w:val="00F72D51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semiHidden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49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qFormat/>
    <w:rsid w:val="00241FC4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59"/>
    <w:rsid w:val="00447A5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47A5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semiHidden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49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qFormat/>
    <w:rsid w:val="00241FC4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59"/>
    <w:rsid w:val="00447A5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47A5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9488-3845-4564-A5DB-E9D413B8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Пользователь Windows</cp:lastModifiedBy>
  <cp:revision>24</cp:revision>
  <cp:lastPrinted>2021-02-18T12:04:00Z</cp:lastPrinted>
  <dcterms:created xsi:type="dcterms:W3CDTF">2020-09-04T04:50:00Z</dcterms:created>
  <dcterms:modified xsi:type="dcterms:W3CDTF">2021-03-11T09:17:00Z</dcterms:modified>
</cp:coreProperties>
</file>