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147" w:type="dxa"/>
        <w:tblLook w:val="04A0"/>
      </w:tblPr>
      <w:tblGrid>
        <w:gridCol w:w="588"/>
        <w:gridCol w:w="3964"/>
        <w:gridCol w:w="10474"/>
      </w:tblGrid>
      <w:tr w:rsidR="00E21225" w:rsidTr="00E21225">
        <w:tc>
          <w:tcPr>
            <w:tcW w:w="588" w:type="dxa"/>
          </w:tcPr>
          <w:p w:rsidR="00E21225" w:rsidRPr="00FE15DA" w:rsidRDefault="00E21225" w:rsidP="00FE1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п/н</w:t>
            </w:r>
          </w:p>
        </w:tc>
        <w:tc>
          <w:tcPr>
            <w:tcW w:w="3964" w:type="dxa"/>
          </w:tcPr>
          <w:p w:rsidR="00E21225" w:rsidRPr="00FE15DA" w:rsidRDefault="00E21225" w:rsidP="00FE1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10474" w:type="dxa"/>
          </w:tcPr>
          <w:p w:rsidR="00E21225" w:rsidRPr="00FE15DA" w:rsidRDefault="00E21225" w:rsidP="00FE1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Что наиболее значительное удалось сделать в 2020 году</w:t>
            </w:r>
          </w:p>
        </w:tc>
        <w:tc>
          <w:tcPr>
            <w:tcW w:w="10474" w:type="dxa"/>
          </w:tcPr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В 2020 году городской округ «город Якутск» участвовал в реализации 5 национальных проектов Российской Федерации с общим объемом финансирования 2,8 млрд. руб., что превышает объем финансирования в 2019 году в 1,3 раза (в 2019 году общий объем финансирования составил 2,2 млрд. руб.):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Демография.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федерального проекта «Содействие занятости женщин - создание условий дошкольного образования для детей в возрасте до трех лет» было предусмотрено – 186,4 млн. руб. на приобретение детского сада-яслей на 119 мест в объекте «Многоквартирные жилые дома по ул. </w:t>
            </w:r>
            <w:proofErr w:type="gram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Автодорожная</w:t>
            </w:r>
            <w:proofErr w:type="gram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в 68 квартале г. Якутска».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В рамках федерального проекта «Современная школа» создан Центр образования цифрового и гуманитарного профилей «Точка роста» в МОБУ «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закуплено и предоставлено оборудование на сумму 900,0 тыс. руб., выполнены ремонтные работы на сумму 2,3 млн. руб. и приобретена мебель на 700,0 тыс. руб.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Также в рамках федерального проекта «Современная школа» на строительство 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пристроя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к школе № 31 было предусмотрено 323,0 млн. руб., ввод планируется в конце декабря.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федерального проекта «Цифровая образовательная среда» в сентябре 2020 года 19 школами получено оборудование на общую сумму 42,9 млн. руб.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По итогам федерального конкурсного отбора 2020 года в рамках проекта «Успех каждого ребенка» в городе Якутск на базе Детского технопарка «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» открыт мобильный технопарк «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Жилье и городская среда.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проекта «Формирование комфортной городской среды» в 2020 году проведены работы по благоустройству дворовых территорий по ул. Каландаришвили, 23/1 и ул. 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, 4/1, 4/2 на общую сумму 18,2 млн. руб.</w:t>
            </w:r>
          </w:p>
          <w:p w:rsidR="00E21225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региональному проекту «Устойчивое сокращение непригодного для проживания жилищного фонда на территории Республики Саха (Якутия)» в 2020 году для </w:t>
            </w:r>
            <w:proofErr w:type="gram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. Якутска предусмотрено 608,9 млн. руб. По этапу 2020 года планируется переселение 772 человек из 270 жилых помещений общей площадью 8 060,5 кв. м.</w:t>
            </w: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Какие успехи и достижения Ваших коллег из других городов Вы бы особо отметили</w:t>
            </w:r>
          </w:p>
        </w:tc>
        <w:tc>
          <w:tcPr>
            <w:tcW w:w="1047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Какие наиболее трудные проблемы не удалось решить в прошедшем году</w:t>
            </w:r>
          </w:p>
        </w:tc>
        <w:tc>
          <w:tcPr>
            <w:tcW w:w="10474" w:type="dxa"/>
          </w:tcPr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Обеспечение земельными участками многодетных семей.</w:t>
            </w:r>
          </w:p>
          <w:p w:rsidR="00762409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При этом за 11 месяцев 2020 года включено в очередь 603 многодетных семьи, в 2019 году – 548 семей, в 2018 году – 714 семей.</w:t>
            </w:r>
          </w:p>
          <w:p w:rsidR="00E21225" w:rsidRPr="005C2111" w:rsidRDefault="00762409" w:rsidP="0076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На конец ноября 2020 года в очереди на получение земельного участка в городе Якутска состоит 6 592 </w:t>
            </w:r>
            <w:proofErr w:type="gram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proofErr w:type="gram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гражданина.</w:t>
            </w: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Какие задачи стоят в 2021 году</w:t>
            </w:r>
          </w:p>
        </w:tc>
        <w:tc>
          <w:tcPr>
            <w:tcW w:w="10474" w:type="dxa"/>
          </w:tcPr>
          <w:p w:rsidR="00E21225" w:rsidRPr="005C2111" w:rsidRDefault="00762409" w:rsidP="00AF1DCC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В конце 2020 года Молодежной Палатой города Якутска был проведен онлайн-опрос горожан по вопросам благоустройства, по итогам которого составлен рейтинг проблем, озвученных жителями столицы. Первую тройку позиций рейтинга занимают проблемы мусора, системы водоотведения и пыли. Кроме того, населением города отмечены нехватка озеленения, разбитые тротуары, не благоустроенность дворов, недостаток уличного освещения и общественных пространств.</w:t>
            </w:r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Для продолжения проведения комплексного благоустройства города, на основании итогов онлайн-опроса населения, в ноябре Окружной администрацией принят трехлетний план благоустройства и озеленения территории городского округа «город Якутск» на 2021-2023 годы.</w:t>
            </w:r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реализации плана благоустройства необходимо благоустроить 98 дворовых территорий, в том числе с созданием детских и спортивных площадок, 2 общественных пространства – сквер им. Романа Дмитриева и озеро 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Сайсары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, устройство 389 мест накопления твердых коммунальных отходов, устройство линий наружного освещения протяженностью 21,5 км, проведение ремонта тротуаров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4 тыс. кв. м.</w:t>
            </w:r>
            <w:proofErr w:type="gramEnd"/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Плановые расходы бюджета города Якутска на 2021-2023 годы на реализацию мероприятий Трехлетия благоустройства составляют около 600,0 млн. руб.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В целях увеличения рас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ходов на отрасль ЖКХ и повышения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в этой сфере услуг на 2021 год в бюджете республики предварительно предусмотрено финансирование на осуществление городом функций столицы в размере 376,0 млн. руб., что больше показателя 2020 года на 17,1 млн. руб.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Реконструкция и капитальный ремонт улично-дорожной сети общей протяженностью не менее 45 км.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Реализация республиканской адресной и муниципальной программы по переселению граждан из ветхого аварийного жилья. На начало декабря 2020 года количество аварийных домов увеличилось на 173 дома и составило 782 ед.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Ввод на территории города Якутска не менее 300 тыс. кв. м. жилья.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Выделение многодетным семьям порядка 340 земельных участков, обеспечение инфраструктурой выданных участков. На конец ноября 2020 года в очереди на получение земельных участков, предоставляемых многодетным семьям, в городе Якутска состоит 6 592 гражданина.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действующих объектов образования. На 2021 год на капитальный ремонт образовательных учреждений предусмотрено 32,6 млн. руб., оздоровительных лагерей – 2,4 млн. руб., текущий ремонт приобретенного объекта по Вилюйскому тракту, 4 км – 8,5 млн. руб., укрепительно-восстановительные работы СОШ № 38 – 25,4 млн. руб., разработку ПСД и СМР по укрепительно-восстановительным работам объектов образования – 10,3 тыс. руб.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дополнительных мест в образовательных учреждениях. </w:t>
            </w:r>
            <w:proofErr w:type="gram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На выкуп здания для детского сада в 203 </w:t>
            </w:r>
            <w:proofErr w:type="spell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. в бюджете города на 2021 год предусмотрено 97,2 млн. руб., на выкуп здания для размещения школы в 68 квартале – 9,9 млн. руб. Кроме того, предусмотрены средства на строительство школы-сада в с. Кангалассы в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сумме 303,1 млн. руб., на </w:t>
            </w:r>
            <w:proofErr w:type="spell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пристроя</w:t>
            </w:r>
            <w:proofErr w:type="spell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к СОШ №1 – 5,5 млн. руб., на разработку ПСД по</w:t>
            </w:r>
            <w:proofErr w:type="gram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 </w:t>
            </w:r>
            <w:proofErr w:type="spellStart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пристроев</w:t>
            </w:r>
            <w:proofErr w:type="spellEnd"/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к СОШ № 26 и СОШ № 29 – 7,7 млн. руб.</w:t>
            </w:r>
          </w:p>
          <w:p w:rsidR="00762409" w:rsidRPr="005C2111" w:rsidRDefault="0081330E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09" w:rsidRPr="005C2111">
              <w:rPr>
                <w:rFonts w:ascii="Times New Roman" w:hAnsi="Times New Roman" w:cs="Times New Roman"/>
                <w:sz w:val="28"/>
                <w:szCs w:val="28"/>
              </w:rPr>
              <w:t>В текущем году администрацией утвержден перечень показателей, характеризующих уровень качества жизни населения города, включающий в себя фактические показатели 2019 года и целевые значения на период до 2023 года. В перечень включены 22 показателя по 10 сферам жизни населения. В первую очередь, это основные социально-экономические показатели города, такие как численность населения, количество малоимущих семей, объем розничной торговли, объем платных услуг, объем социальных выплат населению, уровень регистрируемой безработицы.</w:t>
            </w:r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Также перечнем предусмотрены показатели, характеризующие комфортность проживания населения на территории города – доля протяженности освещенных частей улиц, доля протяженности улиц, обеспеченных подземными водостоками, доля озеленения, уровень фактической обеспеченности санитарными точками, показатели обеспеченности населения жильем и местной продукцией, производимой в городе и другие.</w:t>
            </w:r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2021 года будет осуществляться ежеквартальный мониторинг динамики показателей, характеризующих изменения </w:t>
            </w:r>
            <w:proofErr w:type="gram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уровня качества жизни населения города Якутска</w:t>
            </w:r>
            <w:proofErr w:type="gram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409" w:rsidRPr="005C2111" w:rsidRDefault="00762409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Ключевой задачей на предстоящие годы является реализация мер, направленных на восстановление экономики городского округа «город Якутск» и обеспечение социальной стабильности в городском округе «город Якутск». В настоящий момент, Окружной администрацией города Якутска ведется работа по разработке Плана действий по обеспечению восстановления экономики, занятости и доходов населения города, который будет синхронизирован с Планом действий Республики Саха (Якутия), утвержденным Указом главы 01 декабря 2020 года.</w:t>
            </w: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Какую помощь и содействие,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Ваш взгляд, может оказать АСДГ в решении стоящих проблем в рамках своих компетенций</w:t>
            </w:r>
          </w:p>
        </w:tc>
        <w:tc>
          <w:tcPr>
            <w:tcW w:w="10474" w:type="dxa"/>
          </w:tcPr>
          <w:p w:rsidR="00774961" w:rsidRPr="005C2111" w:rsidRDefault="00774961" w:rsidP="0077496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вопросу </w:t>
            </w:r>
            <w:proofErr w:type="spellStart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услуг. </w:t>
            </w:r>
          </w:p>
          <w:p w:rsidR="00E21225" w:rsidRPr="005C2111" w:rsidRDefault="00774961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преимущество электронных услуг в возможности подачи заявления в электронном виде, не посещая органы государственной власти, что способствует повышению комфортности жизни населения в селах, в том числе в местностях, удаленных от районных центров или имеющих непостоянную (сезонную) транспортную связь.</w:t>
            </w:r>
          </w:p>
          <w:p w:rsidR="00774961" w:rsidRPr="00AF1DCC" w:rsidRDefault="00774961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C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экологии, природопользования и лесного хозяйства муниципальных образований. </w:t>
            </w:r>
          </w:p>
          <w:p w:rsidR="00774961" w:rsidRPr="005C2111" w:rsidRDefault="00774961" w:rsidP="00AF1D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В Республике Саха (Якутия) 80% особо охраняемых природных территорий местного значения находятся на землях государственного лесного фонда, то есть не находящихся в собственности муниципальных образований. Местом обитания и произрастания редких, ценных и, нуждающихся в особой охране видов животных и растений, являются как раз леса.</w:t>
            </w:r>
          </w:p>
          <w:p w:rsidR="00774961" w:rsidRPr="00AF1DCC" w:rsidRDefault="00774961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CC">
              <w:rPr>
                <w:rFonts w:ascii="Times New Roman" w:hAnsi="Times New Roman" w:cs="Times New Roman"/>
                <w:sz w:val="28"/>
                <w:szCs w:val="28"/>
              </w:rPr>
              <w:t>Вопросы усиления кадрового потенциала органов местного самоуправления:</w:t>
            </w:r>
          </w:p>
          <w:p w:rsidR="00774961" w:rsidRPr="005C2111" w:rsidRDefault="00774961" w:rsidP="00AF1DCC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службы, принятие федеральной государственной программы развития муниципальной службы;</w:t>
            </w:r>
          </w:p>
          <w:p w:rsidR="00774961" w:rsidRPr="005C2111" w:rsidRDefault="00774961" w:rsidP="00AF1DCC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кадрового резерва, включающего не только муниципальных служащих, но и выборных должностных лиц. Необходимо выработать единые для всех муниципальных образований РФ нормативы штатной численности муниципальных служащих с учетом типа муниципального образования, численности фактически проживающего населения, удаленности, количества исполняемых вопросов местного значения и переданных отдельных государственных полномочий.</w:t>
            </w:r>
          </w:p>
          <w:p w:rsidR="00774961" w:rsidRPr="005C2111" w:rsidRDefault="00774961" w:rsidP="00AF1DCC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трудовых, жилищных и иных условий в муниципальных образованиях, увеличение заработной платы муниципальных служащих. Отсутствует единая система оплаты труда выборных должностных лиц и муниципальных служащих в целом по Российской Федерации. В каждом субъекте Российской Федерации этот вопрос урегулирован по-своему, что привело к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«перекосам» и установлению не обоснованно низкого денежного содержания муниципальных служащих. Денежное вознаграждение и денежное содержание существенно отличается по субъектам Российской Федерации. По этой причине даже при низкой штатной численности сложно укомплектовать администрацию профессионалами.</w:t>
            </w:r>
          </w:p>
          <w:p w:rsidR="00774961" w:rsidRPr="005C2111" w:rsidRDefault="00774961" w:rsidP="00AF1DCC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регулярное повышение профессиональной квалификации муниципальных кадров всех типов муниципальных образований (не только муниципальных служащих, но и выборных должностных лиц, в том числе депутатов).</w:t>
            </w:r>
          </w:p>
          <w:p w:rsidR="00774961" w:rsidRPr="005C2111" w:rsidRDefault="00774961" w:rsidP="007749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Укажите, пожалуйста, наиболее важные и актуальные, с Вашей точки зрения, вопросы для обсуждения их на мероприятиях АСДГ по обмену опытом</w:t>
            </w:r>
          </w:p>
        </w:tc>
        <w:tc>
          <w:tcPr>
            <w:tcW w:w="10474" w:type="dxa"/>
          </w:tcPr>
          <w:p w:rsidR="00774961" w:rsidRPr="005C2111" w:rsidRDefault="00774961" w:rsidP="00A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Вопросы развития труднодоступных, малонаселенных территорий Арктической зоны РФ остаются актуальными задачи, решение которых необходимо предусмотреть в основах государственной политики Российской Федерации в области развития местного самоуправления до 2030 года: </w:t>
            </w:r>
          </w:p>
          <w:p w:rsidR="00774961" w:rsidRPr="005C2111" w:rsidRDefault="00774961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- дальнейшее совершенствование механизмов финансовой поддержки и развития собственной доходной базы муниципальных образований; </w:t>
            </w:r>
          </w:p>
          <w:p w:rsidR="00774961" w:rsidRPr="005C2111" w:rsidRDefault="00774961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совершенствования кадрового и методического обеспечения деятельности органов местного самоуправления, в том числе на основе мер государственной поддержки; </w:t>
            </w:r>
          </w:p>
          <w:p w:rsidR="00774961" w:rsidRPr="005C2111" w:rsidRDefault="00774961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упрощения процедуры оформления в муниципальную собственность объектов движимого и недвижимого имущества, включая бесхозяйные; </w:t>
            </w:r>
          </w:p>
          <w:p w:rsidR="00E21225" w:rsidRPr="005C2111" w:rsidRDefault="00774961" w:rsidP="0081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- создание стимулов для оптимизации численности муниципальных служащих в органах местного самоуправления с расширением вариативности форм организации местного самоуправления в малочисленных территориях, развитием и поддержкой деятельности органов территориального общественного самоуправления и сельских старост.</w:t>
            </w:r>
          </w:p>
        </w:tc>
      </w:tr>
      <w:tr w:rsidR="00E21225" w:rsidRPr="005C2111" w:rsidTr="00E21225">
        <w:tc>
          <w:tcPr>
            <w:tcW w:w="588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E21225" w:rsidRPr="005C2111" w:rsidRDefault="00E2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1">
              <w:rPr>
                <w:rFonts w:ascii="Times New Roman" w:hAnsi="Times New Roman" w:cs="Times New Roman"/>
                <w:sz w:val="28"/>
                <w:szCs w:val="28"/>
              </w:rPr>
              <w:t xml:space="preserve">Укажите, пожалуйста, наиболее важные и </w:t>
            </w:r>
            <w:r w:rsidRPr="005C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актуальные, с Вашей точки зрения, темы и вопросы для включения их в образовательную программу курсов повышения квалификации (учебных курсов) депутатов и других специалистов представительных органов</w:t>
            </w:r>
          </w:p>
        </w:tc>
        <w:tc>
          <w:tcPr>
            <w:tcW w:w="10474" w:type="dxa"/>
          </w:tcPr>
          <w:p w:rsidR="00E21225" w:rsidRPr="00AF1DCC" w:rsidRDefault="009F1F37" w:rsidP="00AF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Стратегическое планирование и программно-целевое управление на муниципальном уровне. Повышение качества и эффективности </w:t>
            </w:r>
            <w:r w:rsidRPr="00AF1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управленческой деятельности;</w:t>
            </w:r>
          </w:p>
          <w:p w:rsidR="00AF1DCC" w:rsidRPr="00AF1DCC" w:rsidRDefault="009F1F37" w:rsidP="00AF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C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информационных те</w:t>
            </w:r>
            <w:r w:rsidR="00AF1DCC" w:rsidRPr="00AF1DCC">
              <w:rPr>
                <w:rFonts w:ascii="Times New Roman" w:hAnsi="Times New Roman" w:cs="Times New Roman"/>
                <w:sz w:val="28"/>
                <w:szCs w:val="28"/>
              </w:rPr>
              <w:t xml:space="preserve">хнологий в деятельность органов </w:t>
            </w:r>
            <w:r w:rsidRPr="00AF1DCC">
              <w:rPr>
                <w:rFonts w:ascii="Times New Roman" w:hAnsi="Times New Roman" w:cs="Times New Roman"/>
                <w:sz w:val="28"/>
                <w:szCs w:val="28"/>
              </w:rPr>
              <w:t>муниципальной власти;</w:t>
            </w:r>
          </w:p>
          <w:p w:rsidR="009F1F37" w:rsidRPr="00AF1DCC" w:rsidRDefault="009F1F37" w:rsidP="00AF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AF1DCC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AF1DCC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партнерства. </w:t>
            </w:r>
          </w:p>
        </w:tc>
      </w:tr>
      <w:bookmarkEnd w:id="0"/>
    </w:tbl>
    <w:p w:rsidR="009449DF" w:rsidRPr="005C2111" w:rsidRDefault="009449DF">
      <w:pPr>
        <w:rPr>
          <w:sz w:val="28"/>
          <w:szCs w:val="28"/>
        </w:rPr>
      </w:pPr>
    </w:p>
    <w:p w:rsidR="00287C8A" w:rsidRPr="005C2111" w:rsidRDefault="00287C8A">
      <w:pPr>
        <w:rPr>
          <w:sz w:val="28"/>
          <w:szCs w:val="28"/>
        </w:rPr>
      </w:pPr>
    </w:p>
    <w:sectPr w:rsidR="00287C8A" w:rsidRPr="005C2111" w:rsidSect="00FE15D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84" w:rsidRDefault="00050784" w:rsidP="00B441A8">
      <w:pPr>
        <w:spacing w:after="0" w:line="240" w:lineRule="auto"/>
      </w:pPr>
      <w:r>
        <w:separator/>
      </w:r>
    </w:p>
  </w:endnote>
  <w:endnote w:type="continuationSeparator" w:id="0">
    <w:p w:rsidR="00050784" w:rsidRDefault="00050784" w:rsidP="00B4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84" w:rsidRDefault="00050784" w:rsidP="00B441A8">
      <w:pPr>
        <w:spacing w:after="0" w:line="240" w:lineRule="auto"/>
      </w:pPr>
      <w:r>
        <w:separator/>
      </w:r>
    </w:p>
  </w:footnote>
  <w:footnote w:type="continuationSeparator" w:id="0">
    <w:p w:rsidR="00050784" w:rsidRDefault="00050784" w:rsidP="00B4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A8" w:rsidRDefault="00AF1DCC" w:rsidP="005C2111">
    <w:pPr>
      <w:pStyle w:val="a7"/>
      <w:rPr>
        <w:rFonts w:ascii="Times New Roman" w:hAnsi="Times New Roman" w:cs="Times New Roman"/>
        <w:b/>
        <w:sz w:val="28"/>
        <w:szCs w:val="28"/>
      </w:rPr>
    </w:pPr>
    <w:r w:rsidRPr="00AF1DCC">
      <w:rPr>
        <w:rFonts w:ascii="Times New Roman" w:hAnsi="Times New Roman" w:cs="Times New Roman"/>
        <w:b/>
        <w:sz w:val="28"/>
        <w:szCs w:val="28"/>
      </w:rPr>
      <w:t>ЯКУТСК</w:t>
    </w:r>
    <w:r w:rsidR="00B441A8" w:rsidRPr="00AF1DCC">
      <w:rPr>
        <w:rFonts w:ascii="Times New Roman" w:hAnsi="Times New Roman" w:cs="Times New Roman"/>
        <w:b/>
        <w:sz w:val="28"/>
        <w:szCs w:val="28"/>
      </w:rPr>
      <w:t xml:space="preserve"> </w:t>
    </w:r>
  </w:p>
  <w:p w:rsidR="00AF1DCC" w:rsidRPr="00AF1DCC" w:rsidRDefault="00AF1DCC" w:rsidP="005C2111">
    <w:pPr>
      <w:pStyle w:val="a7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AB3"/>
    <w:multiLevelType w:val="hybridMultilevel"/>
    <w:tmpl w:val="10B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589"/>
    <w:multiLevelType w:val="hybridMultilevel"/>
    <w:tmpl w:val="C05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053A"/>
    <w:multiLevelType w:val="hybridMultilevel"/>
    <w:tmpl w:val="344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73140"/>
    <w:multiLevelType w:val="hybridMultilevel"/>
    <w:tmpl w:val="97D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DA"/>
    <w:rsid w:val="00050784"/>
    <w:rsid w:val="00195A50"/>
    <w:rsid w:val="00200EA2"/>
    <w:rsid w:val="00287C8A"/>
    <w:rsid w:val="00576461"/>
    <w:rsid w:val="005C2111"/>
    <w:rsid w:val="00762409"/>
    <w:rsid w:val="00774961"/>
    <w:rsid w:val="0081330E"/>
    <w:rsid w:val="009449DF"/>
    <w:rsid w:val="009F1F37"/>
    <w:rsid w:val="00AF1DCC"/>
    <w:rsid w:val="00B441A8"/>
    <w:rsid w:val="00E21225"/>
    <w:rsid w:val="00F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1A8"/>
  </w:style>
  <w:style w:type="paragraph" w:styleId="a9">
    <w:name w:val="footer"/>
    <w:basedOn w:val="a"/>
    <w:link w:val="aa"/>
    <w:uiPriority w:val="99"/>
    <w:unhideWhenUsed/>
    <w:rsid w:val="00B4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Л. Диодоров</dc:creator>
  <cp:keywords/>
  <dc:description/>
  <cp:lastModifiedBy>user</cp:lastModifiedBy>
  <cp:revision>11</cp:revision>
  <cp:lastPrinted>2021-02-26T03:29:00Z</cp:lastPrinted>
  <dcterms:created xsi:type="dcterms:W3CDTF">2021-02-24T03:55:00Z</dcterms:created>
  <dcterms:modified xsi:type="dcterms:W3CDTF">2021-02-26T09:51:00Z</dcterms:modified>
</cp:coreProperties>
</file>