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7B" w:rsidRPr="009C6B7B" w:rsidRDefault="009C6B7B" w:rsidP="009C6B7B">
      <w:pPr>
        <w:pStyle w:val="210"/>
        <w:shd w:val="clear" w:color="auto" w:fill="auto"/>
        <w:spacing w:before="0" w:line="240" w:lineRule="auto"/>
        <w:ind w:firstLine="567"/>
        <w:rPr>
          <w:rStyle w:val="2"/>
          <w:b/>
          <w:color w:val="000000"/>
        </w:rPr>
      </w:pPr>
      <w:r w:rsidRPr="009C6B7B">
        <w:rPr>
          <w:rStyle w:val="2"/>
          <w:b/>
          <w:color w:val="000000"/>
        </w:rPr>
        <w:t>МАГАДАН</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По состоянию на 01.01.2020 в муниципальном образовании «Город Магадан» функционирует 96 муниципальных организаций, штатная численность которых в 2020 году составляла 7 246 единиц.</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Социальную сферу представляют 85 муниципальных учреждений (организаций), из которы</w:t>
      </w:r>
      <w:bookmarkStart w:id="0" w:name="_GoBack"/>
      <w:bookmarkEnd w:id="0"/>
      <w:r w:rsidRPr="00AE2035">
        <w:rPr>
          <w:rStyle w:val="2"/>
          <w:color w:val="000000"/>
        </w:rPr>
        <w:t>х:</w:t>
      </w:r>
    </w:p>
    <w:p w:rsidR="009C6B7B" w:rsidRPr="00AE2035" w:rsidRDefault="009C6B7B" w:rsidP="009C6B7B">
      <w:pPr>
        <w:pStyle w:val="210"/>
        <w:numPr>
          <w:ilvl w:val="0"/>
          <w:numId w:val="12"/>
        </w:numPr>
        <w:shd w:val="clear" w:color="auto" w:fill="auto"/>
        <w:tabs>
          <w:tab w:val="left" w:pos="970"/>
        </w:tabs>
        <w:spacing w:before="0" w:line="240" w:lineRule="auto"/>
        <w:ind w:firstLine="567"/>
        <w:rPr>
          <w:sz w:val="28"/>
          <w:szCs w:val="28"/>
        </w:rPr>
      </w:pPr>
      <w:r w:rsidRPr="00AE2035">
        <w:rPr>
          <w:rStyle w:val="2"/>
          <w:color w:val="000000"/>
        </w:rPr>
        <w:t xml:space="preserve">53 </w:t>
      </w:r>
      <w:proofErr w:type="gramStart"/>
      <w:r w:rsidRPr="00AE2035">
        <w:rPr>
          <w:rStyle w:val="2"/>
          <w:color w:val="000000"/>
        </w:rPr>
        <w:t>образовательных</w:t>
      </w:r>
      <w:proofErr w:type="gramEnd"/>
      <w:r w:rsidRPr="00AE2035">
        <w:rPr>
          <w:rStyle w:val="2"/>
          <w:color w:val="000000"/>
        </w:rPr>
        <w:t xml:space="preserve"> организации (20 общеобразовательных, 31 дошкольная образовательная и 2 дополнительного образования);</w:t>
      </w:r>
    </w:p>
    <w:p w:rsidR="009C6B7B" w:rsidRPr="00AE2035" w:rsidRDefault="009C6B7B" w:rsidP="009C6B7B">
      <w:pPr>
        <w:pStyle w:val="210"/>
        <w:numPr>
          <w:ilvl w:val="0"/>
          <w:numId w:val="12"/>
        </w:numPr>
        <w:shd w:val="clear" w:color="auto" w:fill="auto"/>
        <w:tabs>
          <w:tab w:val="left" w:pos="986"/>
        </w:tabs>
        <w:spacing w:before="0" w:line="240" w:lineRule="auto"/>
        <w:ind w:firstLine="567"/>
        <w:rPr>
          <w:sz w:val="28"/>
          <w:szCs w:val="28"/>
        </w:rPr>
      </w:pPr>
      <w:r w:rsidRPr="00AE2035">
        <w:rPr>
          <w:rStyle w:val="2"/>
          <w:color w:val="000000"/>
        </w:rPr>
        <w:t>11 учреждений физической культуры и спорта;</w:t>
      </w:r>
    </w:p>
    <w:p w:rsidR="009C6B7B" w:rsidRPr="00AE2035" w:rsidRDefault="009C6B7B" w:rsidP="009C6B7B">
      <w:pPr>
        <w:pStyle w:val="210"/>
        <w:numPr>
          <w:ilvl w:val="0"/>
          <w:numId w:val="12"/>
        </w:numPr>
        <w:shd w:val="clear" w:color="auto" w:fill="auto"/>
        <w:tabs>
          <w:tab w:val="left" w:pos="981"/>
        </w:tabs>
        <w:spacing w:before="0" w:line="240" w:lineRule="auto"/>
        <w:ind w:firstLine="567"/>
        <w:rPr>
          <w:sz w:val="28"/>
          <w:szCs w:val="28"/>
        </w:rPr>
      </w:pPr>
      <w:r w:rsidRPr="00AE2035">
        <w:rPr>
          <w:rStyle w:val="2"/>
          <w:color w:val="000000"/>
        </w:rPr>
        <w:t>17 учреждений культуры;</w:t>
      </w:r>
    </w:p>
    <w:p w:rsidR="009C6B7B" w:rsidRPr="00AE2035" w:rsidRDefault="009C6B7B" w:rsidP="009C6B7B">
      <w:pPr>
        <w:pStyle w:val="210"/>
        <w:numPr>
          <w:ilvl w:val="0"/>
          <w:numId w:val="12"/>
        </w:numPr>
        <w:shd w:val="clear" w:color="auto" w:fill="auto"/>
        <w:tabs>
          <w:tab w:val="left" w:pos="981"/>
        </w:tabs>
        <w:spacing w:before="0" w:line="240" w:lineRule="auto"/>
        <w:ind w:firstLine="567"/>
        <w:rPr>
          <w:sz w:val="28"/>
          <w:szCs w:val="28"/>
        </w:rPr>
      </w:pPr>
      <w:r w:rsidRPr="00AE2035">
        <w:rPr>
          <w:rStyle w:val="2"/>
          <w:color w:val="000000"/>
        </w:rPr>
        <w:t>3 учреждения социальной поддержки семьи и молодежи;</w:t>
      </w:r>
    </w:p>
    <w:p w:rsidR="009C6B7B" w:rsidRPr="00AE2035" w:rsidRDefault="009C6B7B" w:rsidP="009C6B7B">
      <w:pPr>
        <w:pStyle w:val="210"/>
        <w:numPr>
          <w:ilvl w:val="0"/>
          <w:numId w:val="12"/>
        </w:numPr>
        <w:shd w:val="clear" w:color="auto" w:fill="auto"/>
        <w:tabs>
          <w:tab w:val="left" w:pos="970"/>
        </w:tabs>
        <w:spacing w:before="0" w:line="240" w:lineRule="auto"/>
        <w:ind w:firstLine="567"/>
        <w:rPr>
          <w:sz w:val="28"/>
          <w:szCs w:val="28"/>
        </w:rPr>
      </w:pPr>
      <w:r w:rsidRPr="00AE2035">
        <w:rPr>
          <w:rStyle w:val="2"/>
          <w:color w:val="000000"/>
        </w:rPr>
        <w:t>1 специализированное учреждение для перевозки контингента общеобразовательных организаций.</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Штатная численность муниципальных учреждений социальной сферы в 2020 году составила 5 786 единиц.</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Городское хозяйство представлено 11 муниципальными учреждениями, осуществляющими свою деятельность в сферах дорожно-транспортного, жилищно-коммунального, лесного хозяйства, по предупреждению и ликвидации чрезвычайных ситуаций. Численность работников данных отраслей составила 1 460 штатных единиц.</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Кадрами муниципальные учреждения укомплектованы на 68,6%. По состоянию на 01.01.2021 фактическая численность работников муниципальных учреждений составила 4 972 человека, которыми замещались 6 328 ставок.</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Коэффициент нагрузки физического лица замещенными ставками составил 1,27. В 2020 году вакантными оставались 918 ставок.</w:t>
      </w:r>
    </w:p>
    <w:p w:rsidR="009C6B7B" w:rsidRPr="00AE2035" w:rsidRDefault="009C6B7B" w:rsidP="009C6B7B">
      <w:pPr>
        <w:pStyle w:val="210"/>
        <w:shd w:val="clear" w:color="auto" w:fill="auto"/>
        <w:spacing w:before="0" w:line="240" w:lineRule="auto"/>
        <w:ind w:firstLine="567"/>
        <w:rPr>
          <w:sz w:val="28"/>
          <w:szCs w:val="28"/>
        </w:rPr>
      </w:pPr>
      <w:proofErr w:type="gramStart"/>
      <w:r w:rsidRPr="00AE2035">
        <w:rPr>
          <w:rStyle w:val="2"/>
          <w:color w:val="000000"/>
        </w:rPr>
        <w:t>Муниципальные учреждения города Магадана испытывают потребность в специалистах и рабочих таких специальностей, как тренер-преподаватель, педагог дополнительного образования, учитель, младший воспитатель, машинист по стирке и ремонту спецодежды, уборщик служебных помещений, дворник, повар, рабочий по комплексному обслуживанию и ремонту зданий, водитель, механизатор, рабочий зеленого хозяйства и зеленого строительства, тракторист, уборщик территорий, слесарь по ремонту автотранспорта, дорожный рабочий.</w:t>
      </w:r>
      <w:proofErr w:type="gramEnd"/>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Трудовые отношения в муниципальных учреждениях муниципального образования «Город Магадан» регулируются Трудовым законодательством Российской Федерации, законодательными и нормативными правовыми актами Магаданской области и муниципального образования «Город Магадан», коллективными договорами, соглашениями, локальными нормативными актами, правилами внутреннего трудового распорядка, трудовыми договорами между работниками и работодателями.</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Во всех муниципальных учреждениях муниципального образования «Город Магадан» действует новая система оплаты труда, позволившая стимулировать работников за высокие достижения и качество работы.</w:t>
      </w:r>
    </w:p>
    <w:p w:rsidR="009C6B7B" w:rsidRPr="00AE2035" w:rsidRDefault="009C6B7B" w:rsidP="009C6B7B">
      <w:pPr>
        <w:pStyle w:val="210"/>
        <w:shd w:val="clear" w:color="auto" w:fill="auto"/>
        <w:spacing w:before="0" w:line="240" w:lineRule="auto"/>
        <w:ind w:firstLine="567"/>
        <w:rPr>
          <w:sz w:val="28"/>
          <w:szCs w:val="28"/>
        </w:rPr>
      </w:pPr>
      <w:proofErr w:type="gramStart"/>
      <w:r w:rsidRPr="00AE2035">
        <w:rPr>
          <w:rStyle w:val="2"/>
          <w:color w:val="000000"/>
        </w:rPr>
        <w:t xml:space="preserve">Оплата труда работников муниципальных учреждений состоит из должностного оклада, выплат компенсационного (выплаты за работу с вредными условиями труда, районные коэффициенты и процентные надбавки за стаж работы в районах Крайнего Севера, за работу в условиях, отклоняющихся от нормальных) и стимулирующего характера (выплаты за наличие почетных званий, </w:t>
      </w:r>
      <w:r w:rsidRPr="00AE2035">
        <w:rPr>
          <w:rStyle w:val="2"/>
          <w:color w:val="000000"/>
        </w:rPr>
        <w:lastRenderedPageBreak/>
        <w:t>квалификационной категории, за выслугу лет, премиальные выплаты и т.д.).</w:t>
      </w:r>
      <w:proofErr w:type="gramEnd"/>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В рамках реализации «майских» Указов Президента РФ В.В. Путина в 2020 году заработная плата «целевых» категорий работников увеличилась:</w:t>
      </w:r>
    </w:p>
    <w:p w:rsidR="009C6B7B" w:rsidRPr="00AE2035" w:rsidRDefault="009C6B7B" w:rsidP="009C6B7B">
      <w:pPr>
        <w:pStyle w:val="210"/>
        <w:numPr>
          <w:ilvl w:val="0"/>
          <w:numId w:val="12"/>
        </w:numPr>
        <w:shd w:val="clear" w:color="auto" w:fill="auto"/>
        <w:tabs>
          <w:tab w:val="left" w:pos="957"/>
        </w:tabs>
        <w:spacing w:before="0" w:line="240" w:lineRule="auto"/>
        <w:ind w:firstLine="567"/>
        <w:rPr>
          <w:sz w:val="28"/>
          <w:szCs w:val="28"/>
        </w:rPr>
      </w:pPr>
      <w:r w:rsidRPr="00AE2035">
        <w:rPr>
          <w:rStyle w:val="2"/>
          <w:color w:val="000000"/>
        </w:rPr>
        <w:t>по работникам культуры на 10,5%;</w:t>
      </w:r>
    </w:p>
    <w:p w:rsidR="009C6B7B" w:rsidRPr="00AE2035" w:rsidRDefault="009C6B7B" w:rsidP="009C6B7B">
      <w:pPr>
        <w:pStyle w:val="210"/>
        <w:numPr>
          <w:ilvl w:val="0"/>
          <w:numId w:val="12"/>
        </w:numPr>
        <w:shd w:val="clear" w:color="auto" w:fill="auto"/>
        <w:tabs>
          <w:tab w:val="left" w:pos="927"/>
        </w:tabs>
        <w:spacing w:before="0" w:line="240" w:lineRule="auto"/>
        <w:ind w:firstLine="567"/>
        <w:rPr>
          <w:sz w:val="28"/>
          <w:szCs w:val="28"/>
        </w:rPr>
      </w:pPr>
      <w:proofErr w:type="gramStart"/>
      <w:r w:rsidRPr="00AE2035">
        <w:rPr>
          <w:rStyle w:val="2"/>
          <w:color w:val="000000"/>
        </w:rPr>
        <w:t>по педагогическим работникам дополнительного образования на 4,6%. По работникам муниципальных учреждений, повышение оплаты труда которых не предусмотрено указами Президента Российской Федерации от 07 мая 2012 г. № 597 «О мероприятиях по реализации государственной социальной политики», от 01 июня 2012 г. № 761 «О национальной стратегии действий в интересах детей на 2012-2017 годы» и от 28 декабря 2012 г. № 1688 «О некоторых мерах</w:t>
      </w:r>
      <w:proofErr w:type="gramEnd"/>
      <w:r w:rsidRPr="00AE2035">
        <w:rPr>
          <w:rStyle w:val="2"/>
          <w:color w:val="000000"/>
        </w:rPr>
        <w:t xml:space="preserve"> по реализации государственной политики в сфере защиты детей - сирот и детей, оставшихся без попечения родителей», приняты меры по увеличению оплаты труда с 01 октября 2020 года на 3%.</w:t>
      </w:r>
    </w:p>
    <w:p w:rsidR="009C6B7B" w:rsidRPr="00AE2035" w:rsidRDefault="009C6B7B" w:rsidP="009C6B7B">
      <w:pPr>
        <w:pStyle w:val="210"/>
        <w:shd w:val="clear" w:color="auto" w:fill="auto"/>
        <w:spacing w:before="0" w:line="240" w:lineRule="auto"/>
        <w:ind w:firstLine="567"/>
        <w:rPr>
          <w:sz w:val="28"/>
          <w:szCs w:val="28"/>
        </w:rPr>
      </w:pPr>
      <w:r w:rsidRPr="00AE2035">
        <w:rPr>
          <w:rStyle w:val="2"/>
          <w:color w:val="000000"/>
        </w:rPr>
        <w:t>В целом по работникам учреждений муниципального образования «Город Магадан» средняя заработная плата за 2020 год составила 63 057 рублей, увеличившись по сравнению с 2019 годом на 8%.</w:t>
      </w:r>
    </w:p>
    <w:p w:rsidR="00573C3C" w:rsidRPr="009C6B7B" w:rsidRDefault="00573C3C" w:rsidP="009C6B7B"/>
    <w:sectPr w:rsidR="00573C3C" w:rsidRPr="009C6B7B"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2">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9"/>
  </w:num>
  <w:num w:numId="5">
    <w:abstractNumId w:val="8"/>
  </w:num>
  <w:num w:numId="6">
    <w:abstractNumId w:val="12"/>
  </w:num>
  <w:num w:numId="7">
    <w:abstractNumId w:val="2"/>
  </w:num>
  <w:num w:numId="8">
    <w:abstractNumId w:val="3"/>
  </w:num>
  <w:num w:numId="9">
    <w:abstractNumId w:val="7"/>
  </w:num>
  <w:num w:numId="10">
    <w:abstractNumId w:val="11"/>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12411B"/>
    <w:rsid w:val="001A113E"/>
    <w:rsid w:val="00200639"/>
    <w:rsid w:val="002A3BF3"/>
    <w:rsid w:val="00395324"/>
    <w:rsid w:val="00550EC5"/>
    <w:rsid w:val="00573C3C"/>
    <w:rsid w:val="00575314"/>
    <w:rsid w:val="00635BB0"/>
    <w:rsid w:val="00643082"/>
    <w:rsid w:val="00682537"/>
    <w:rsid w:val="00786C46"/>
    <w:rsid w:val="007D7693"/>
    <w:rsid w:val="00833B5E"/>
    <w:rsid w:val="00842871"/>
    <w:rsid w:val="009C6B7B"/>
    <w:rsid w:val="00AB19FC"/>
    <w:rsid w:val="00B02CC4"/>
    <w:rsid w:val="00B179ED"/>
    <w:rsid w:val="00B21179"/>
    <w:rsid w:val="00B22CB1"/>
    <w:rsid w:val="00C14DED"/>
    <w:rsid w:val="00C74C20"/>
    <w:rsid w:val="00D209DF"/>
    <w:rsid w:val="00D77EA2"/>
    <w:rsid w:val="00DA5AA3"/>
    <w:rsid w:val="00DB6EEC"/>
    <w:rsid w:val="00DD6AA1"/>
    <w:rsid w:val="00E549ED"/>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basedOn w:val="a"/>
    <w:link w:val="ae"/>
    <w:uiPriority w:val="34"/>
    <w:qFormat/>
    <w:rsid w:val="00833B5E"/>
    <w:pPr>
      <w:ind w:left="720"/>
      <w:contextualSpacing/>
    </w:pPr>
    <w:rPr>
      <w:rFonts w:ascii="Calibri" w:hAnsi="Calibri"/>
    </w:rPr>
  </w:style>
  <w:style w:type="character" w:customStyle="1" w:styleId="ae">
    <w:name w:val="Абзац списка Знак"/>
    <w:link w:val="ad"/>
    <w:uiPriority w:val="34"/>
    <w:locked/>
    <w:rsid w:val="00833B5E"/>
    <w:rPr>
      <w:rFonts w:ascii="Calibri" w:eastAsia="Times New Roman" w:hAnsi="Calibri" w:cs="Times New Roman"/>
    </w:rPr>
  </w:style>
  <w:style w:type="paragraph" w:customStyle="1" w:styleId="Style9">
    <w:name w:val="Style9"/>
    <w:basedOn w:val="a"/>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2021-05-31T06:53:00Z</dcterms:created>
  <dcterms:modified xsi:type="dcterms:W3CDTF">2021-05-31T06:53:00Z</dcterms:modified>
</cp:coreProperties>
</file>